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CC" w:rsidRDefault="000D319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霸州市城市管理行政执法局2017年部门预算信息公开</w:t>
      </w:r>
    </w:p>
    <w:p w:rsidR="00EA3ECC" w:rsidRDefault="000D3194">
      <w:pPr>
        <w:ind w:firstLineChars="200" w:firstLine="64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按照《预算法》、《地方预决算公开操作规程》和《河北省省级预算公开办法》规定，现将霸州市城市管理行政执法局2017年部门预算公开如下：</w:t>
      </w:r>
    </w:p>
    <w:p w:rsidR="00EA3ECC" w:rsidRDefault="000D3194">
      <w:pPr>
        <w:ind w:firstLine="640"/>
        <w:rPr>
          <w:rFonts w:ascii="黑体" w:eastAsia="黑体" w:hAnsiTheme="majorEastAsia" w:cs="Times New Roman"/>
          <w:bCs/>
          <w:sz w:val="32"/>
          <w:szCs w:val="32"/>
        </w:rPr>
      </w:pPr>
      <w:r>
        <w:rPr>
          <w:rFonts w:ascii="黑体" w:eastAsia="黑体" w:hAnsiTheme="majorEastAsia" w:cs="Times New Roman" w:hint="eastAsia"/>
          <w:bCs/>
          <w:sz w:val="32"/>
          <w:szCs w:val="32"/>
        </w:rPr>
        <w:t>一、部门职责及机构设置情况</w:t>
      </w:r>
    </w:p>
    <w:p w:rsidR="00EA3ECC" w:rsidRDefault="000D3194">
      <w:pPr>
        <w:ind w:firstLineChars="200" w:firstLine="643"/>
        <w:rPr>
          <w:rFonts w:ascii="楷体_GB2312" w:eastAsia="楷体_GB2312" w:hAnsiTheme="majorEastAsia" w:cs="Times New Roman"/>
          <w:b/>
          <w:sz w:val="32"/>
          <w:szCs w:val="32"/>
        </w:rPr>
      </w:pPr>
      <w:r>
        <w:rPr>
          <w:rFonts w:ascii="楷体" w:eastAsia="楷体" w:hAnsi="楷体" w:cs="楷体" w:hint="eastAsia"/>
          <w:b/>
          <w:sz w:val="32"/>
          <w:szCs w:val="32"/>
        </w:rPr>
        <w:t>部门职责</w:t>
      </w:r>
      <w:r>
        <w:rPr>
          <w:rFonts w:ascii="楷体_GB2312" w:eastAsia="楷体_GB2312" w:hAnsiTheme="majorEastAsia" w:cs="Times New Roman" w:hint="eastAsia"/>
          <w:b/>
          <w:sz w:val="32"/>
          <w:szCs w:val="32"/>
        </w:rPr>
        <w:t>：</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（一）根据国家和省、廊坊市及我市城市管理方面的法律、法规、规章，拟定全市城市管理规章制度，并付诸实施。</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（二）行使市容环境卫生管理方面法律、法规、规章规定的全部行政处罚权；履行市容环境卫生管理方面法律、法规、规章规定的有关职责</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（三）行使城市绿化管理方面法律、法规、规章规定的全部行政处罚权；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（四）行使城乡规划管理方面法律、法规、规章规定的全部行政处罚权；对城乡规划范围内未取得建设工程规划许可证或者违反建设工程规划许可证的建设工程实施处罚；按城市规划行使审核、监</w:t>
      </w:r>
      <w:r>
        <w:rPr>
          <w:rFonts w:ascii="仿宋" w:eastAsia="仿宋" w:hAnsi="仿宋" w:cs="仿宋" w:hint="eastAsia"/>
          <w:sz w:val="32"/>
          <w:szCs w:val="32"/>
        </w:rPr>
        <w:lastRenderedPageBreak/>
        <w:t>督、处罚权；按有关规定和法定程序，强制拆除违法建筑物或者设施</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（五）行使工商行政管理方面法律、法规、规章规定的对无照商贩的监督管理和行政处罚权；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（六）行使对侵占城市规划区内人行道、公共场地等行为的行政处罚权；行使临时占道审批管理权及依法收取占道费</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（七）行使市政、公用设施管理方面法律、法规、规章规定的全部行政处罚权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（八）行使对基础设施施工现场和建筑工地围场作业的监督管理和行政处罚权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（九）行使环境保护方面法律、法规、规章规定的室外噪音扰民等环境污染的行政处罚权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（十）行使对市区各种客运出租车辆的营运审核权和行政处罚权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（十一）行使交通运输管理方面法律、法规、规章规定的对市区内散装货物运输的监督管理和行政处罚权</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（十二）依据有关法律、法规、规章，负责城市管理相关规定、通告、通知等规范性文件的起草、宣传、贯彻落实工作</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（十三）负责受理上级批转的信访案件和群众举报案件及办理人大、政协建议、提案工作</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lastRenderedPageBreak/>
        <w:t>（十四）负责干部职工思想政治教育及业务培训工作，局内党（团）员的发展、教育、管理工作，工、青、妇及计划生育、安全保卫工作</w:t>
      </w:r>
    </w:p>
    <w:p w:rsidR="00EA3ECC" w:rsidRDefault="000D3194">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（十五）履行法律、法规、规章或者省、廊坊市及我市人民政府规定的其他职责</w:t>
      </w:r>
    </w:p>
    <w:p w:rsidR="00EA3ECC" w:rsidRDefault="000D3194">
      <w:pPr>
        <w:autoSpaceDE w:val="0"/>
        <w:autoSpaceDN w:val="0"/>
        <w:adjustRightInd w:val="0"/>
        <w:ind w:firstLineChars="200" w:firstLine="643"/>
        <w:jc w:val="left"/>
        <w:rPr>
          <w:rFonts w:ascii="楷体_GB2312" w:eastAsia="楷体_GB2312" w:hAnsiTheme="majorEastAsia" w:cs="Times New Roman"/>
          <w:b/>
          <w:sz w:val="32"/>
          <w:szCs w:val="32"/>
        </w:rPr>
      </w:pPr>
      <w:r>
        <w:rPr>
          <w:rFonts w:ascii="楷体_GB2312" w:eastAsia="楷体_GB2312" w:hAnsiTheme="majorEastAsia" w:cs="Times New Roman" w:hint="eastAsia"/>
          <w:b/>
          <w:sz w:val="32"/>
          <w:szCs w:val="32"/>
        </w:rPr>
        <w:t>机构设置：</w:t>
      </w:r>
    </w:p>
    <w:p w:rsidR="00EA3ECC" w:rsidRDefault="000D3194">
      <w:pPr>
        <w:jc w:val="center"/>
        <w:outlineLvl w:val="0"/>
        <w:rPr>
          <w:rFonts w:ascii="方正仿宋_GBK" w:eastAsia="方正仿宋_GBK" w:hAnsiTheme="majorEastAsia" w:cs="Times New Roman"/>
          <w:sz w:val="32"/>
          <w:szCs w:val="24"/>
        </w:rPr>
      </w:pPr>
      <w:r>
        <w:rPr>
          <w:rFonts w:ascii="方正仿宋_GBK" w:eastAsia="方正仿宋_GBK" w:hAnsiTheme="majorEastAsia" w:cs="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EA3ECC">
        <w:trPr>
          <w:trHeight w:val="300"/>
          <w:tblHeader/>
          <w:jc w:val="center"/>
        </w:trPr>
        <w:tc>
          <w:tcPr>
            <w:tcW w:w="4443" w:type="dxa"/>
            <w:vMerge w:val="restart"/>
            <w:shd w:val="clear" w:color="auto" w:fill="auto"/>
            <w:vAlign w:val="center"/>
          </w:tcPr>
          <w:p w:rsidR="00EA3ECC" w:rsidRDefault="000D3194">
            <w:pPr>
              <w:spacing w:line="300" w:lineRule="exact"/>
              <w:jc w:val="center"/>
              <w:rPr>
                <w:rFonts w:ascii="方正仿宋_GBK" w:eastAsia="方正仿宋_GBK" w:hAnsiTheme="majorEastAsia" w:cs="Times New Roman"/>
                <w:b/>
                <w:szCs w:val="24"/>
              </w:rPr>
            </w:pPr>
            <w:r>
              <w:rPr>
                <w:rFonts w:ascii="方正仿宋_GBK" w:eastAsia="方正仿宋_GBK" w:hAnsiTheme="majorEastAsia" w:cs="Times New Roman" w:hint="eastAsia"/>
                <w:b/>
                <w:szCs w:val="24"/>
              </w:rPr>
              <w:t>单位名称</w:t>
            </w:r>
          </w:p>
        </w:tc>
        <w:tc>
          <w:tcPr>
            <w:tcW w:w="1134" w:type="dxa"/>
            <w:vMerge w:val="restart"/>
            <w:shd w:val="clear" w:color="auto" w:fill="auto"/>
            <w:vAlign w:val="center"/>
          </w:tcPr>
          <w:p w:rsidR="00EA3ECC" w:rsidRDefault="000D3194">
            <w:pPr>
              <w:spacing w:line="300" w:lineRule="exact"/>
              <w:jc w:val="center"/>
              <w:rPr>
                <w:rFonts w:ascii="方正仿宋_GBK" w:eastAsia="方正仿宋_GBK" w:hAnsiTheme="majorEastAsia" w:cs="Times New Roman"/>
                <w:b/>
                <w:szCs w:val="24"/>
              </w:rPr>
            </w:pPr>
            <w:r>
              <w:rPr>
                <w:rFonts w:ascii="方正仿宋_GBK" w:eastAsia="方正仿宋_GBK" w:hAnsiTheme="majorEastAsia" w:cs="Times New Roman" w:hint="eastAsia"/>
                <w:b/>
                <w:szCs w:val="24"/>
              </w:rPr>
              <w:t>单位性质</w:t>
            </w:r>
          </w:p>
        </w:tc>
        <w:tc>
          <w:tcPr>
            <w:tcW w:w="1276" w:type="dxa"/>
            <w:vMerge w:val="restart"/>
            <w:shd w:val="clear" w:color="auto" w:fill="auto"/>
            <w:vAlign w:val="center"/>
          </w:tcPr>
          <w:p w:rsidR="00EA3ECC" w:rsidRDefault="000D3194">
            <w:pPr>
              <w:spacing w:line="300" w:lineRule="exact"/>
              <w:jc w:val="center"/>
              <w:rPr>
                <w:rFonts w:ascii="方正仿宋_GBK" w:eastAsia="方正仿宋_GBK" w:hAnsiTheme="majorEastAsia" w:cs="Times New Roman"/>
                <w:b/>
                <w:szCs w:val="24"/>
              </w:rPr>
            </w:pPr>
            <w:r>
              <w:rPr>
                <w:rFonts w:ascii="方正仿宋_GBK" w:eastAsia="方正仿宋_GBK" w:hAnsiTheme="majorEastAsia" w:cs="Times New Roman" w:hint="eastAsia"/>
                <w:b/>
                <w:szCs w:val="24"/>
              </w:rPr>
              <w:t>单位规格</w:t>
            </w:r>
          </w:p>
        </w:tc>
        <w:tc>
          <w:tcPr>
            <w:tcW w:w="2902" w:type="dxa"/>
            <w:vMerge w:val="restart"/>
            <w:shd w:val="clear" w:color="auto" w:fill="auto"/>
            <w:vAlign w:val="center"/>
          </w:tcPr>
          <w:p w:rsidR="00EA3ECC" w:rsidRDefault="000D3194">
            <w:pPr>
              <w:spacing w:line="300" w:lineRule="exact"/>
              <w:jc w:val="center"/>
              <w:rPr>
                <w:rFonts w:ascii="方正仿宋_GBK" w:eastAsia="方正仿宋_GBK" w:hAnsiTheme="majorEastAsia" w:cs="Times New Roman"/>
                <w:b/>
                <w:szCs w:val="24"/>
              </w:rPr>
            </w:pPr>
            <w:r>
              <w:rPr>
                <w:rFonts w:ascii="方正仿宋_GBK" w:eastAsia="方正仿宋_GBK" w:hAnsiTheme="majorEastAsia" w:cs="Times New Roman" w:hint="eastAsia"/>
                <w:b/>
                <w:szCs w:val="24"/>
              </w:rPr>
              <w:t>经费保障形式</w:t>
            </w:r>
          </w:p>
        </w:tc>
      </w:tr>
      <w:tr w:rsidR="00EA3ECC">
        <w:trPr>
          <w:trHeight w:val="300"/>
          <w:tblHeader/>
          <w:jc w:val="center"/>
        </w:trPr>
        <w:tc>
          <w:tcPr>
            <w:tcW w:w="4443" w:type="dxa"/>
            <w:vMerge/>
            <w:shd w:val="clear" w:color="auto" w:fill="auto"/>
            <w:vAlign w:val="center"/>
          </w:tcPr>
          <w:p w:rsidR="00EA3ECC" w:rsidRDefault="00EA3ECC">
            <w:pPr>
              <w:spacing w:line="300" w:lineRule="exact"/>
              <w:jc w:val="left"/>
              <w:outlineLvl w:val="0"/>
              <w:rPr>
                <w:rFonts w:ascii="方正仿宋_GBK" w:eastAsia="方正仿宋_GBK" w:hAnsiTheme="majorEastAsia" w:cs="Times New Roman"/>
                <w:szCs w:val="24"/>
              </w:rPr>
            </w:pPr>
          </w:p>
        </w:tc>
        <w:tc>
          <w:tcPr>
            <w:tcW w:w="1134" w:type="dxa"/>
            <w:vMerge/>
            <w:shd w:val="clear" w:color="auto" w:fill="auto"/>
            <w:vAlign w:val="center"/>
          </w:tcPr>
          <w:p w:rsidR="00EA3ECC" w:rsidRDefault="00EA3ECC">
            <w:pPr>
              <w:spacing w:line="300" w:lineRule="exact"/>
              <w:jc w:val="left"/>
              <w:outlineLvl w:val="0"/>
              <w:rPr>
                <w:rFonts w:ascii="方正仿宋_GBK" w:eastAsia="方正仿宋_GBK" w:hAnsiTheme="majorEastAsia" w:cs="Times New Roman"/>
                <w:szCs w:val="24"/>
              </w:rPr>
            </w:pPr>
          </w:p>
        </w:tc>
        <w:tc>
          <w:tcPr>
            <w:tcW w:w="1276" w:type="dxa"/>
            <w:vMerge/>
            <w:shd w:val="clear" w:color="auto" w:fill="auto"/>
            <w:vAlign w:val="center"/>
          </w:tcPr>
          <w:p w:rsidR="00EA3ECC" w:rsidRDefault="00EA3ECC">
            <w:pPr>
              <w:spacing w:line="300" w:lineRule="exact"/>
              <w:jc w:val="left"/>
              <w:outlineLvl w:val="0"/>
              <w:rPr>
                <w:rFonts w:ascii="方正仿宋_GBK" w:eastAsia="方正仿宋_GBK" w:hAnsiTheme="majorEastAsia" w:cs="Times New Roman"/>
                <w:szCs w:val="24"/>
              </w:rPr>
            </w:pPr>
          </w:p>
        </w:tc>
        <w:tc>
          <w:tcPr>
            <w:tcW w:w="2902" w:type="dxa"/>
            <w:vMerge/>
            <w:shd w:val="clear" w:color="auto" w:fill="auto"/>
            <w:vAlign w:val="center"/>
          </w:tcPr>
          <w:p w:rsidR="00EA3ECC" w:rsidRDefault="00EA3ECC">
            <w:pPr>
              <w:spacing w:line="300" w:lineRule="exact"/>
              <w:jc w:val="left"/>
              <w:outlineLvl w:val="0"/>
              <w:rPr>
                <w:rFonts w:ascii="方正仿宋_GBK" w:eastAsia="方正仿宋_GBK" w:hAnsiTheme="majorEastAsia" w:cs="Times New Roman"/>
                <w:szCs w:val="24"/>
              </w:rPr>
            </w:pPr>
          </w:p>
        </w:tc>
      </w:tr>
      <w:tr w:rsidR="00EA3ECC">
        <w:trPr>
          <w:trHeight w:val="227"/>
          <w:jc w:val="center"/>
        </w:trPr>
        <w:tc>
          <w:tcPr>
            <w:tcW w:w="4443" w:type="dxa"/>
            <w:shd w:val="clear" w:color="auto" w:fill="auto"/>
            <w:vAlign w:val="center"/>
          </w:tcPr>
          <w:p w:rsidR="00EA3ECC" w:rsidRDefault="000D3194">
            <w:pPr>
              <w:spacing w:line="300" w:lineRule="exact"/>
              <w:jc w:val="left"/>
              <w:rPr>
                <w:rFonts w:ascii="方正仿宋_GBK" w:eastAsia="方正仿宋_GBK" w:hAnsiTheme="majorEastAsia" w:cs="Times New Roman"/>
                <w:szCs w:val="24"/>
              </w:rPr>
            </w:pPr>
            <w:r>
              <w:rPr>
                <w:rFonts w:ascii="方正仿宋_GBK" w:eastAsia="方正仿宋_GBK" w:hAnsiTheme="majorEastAsia" w:hint="eastAsia"/>
              </w:rPr>
              <w:t>霸州市城市管理行政执法局</w:t>
            </w:r>
          </w:p>
        </w:tc>
        <w:tc>
          <w:tcPr>
            <w:tcW w:w="1134" w:type="dxa"/>
            <w:shd w:val="clear" w:color="auto" w:fill="auto"/>
            <w:vAlign w:val="center"/>
          </w:tcPr>
          <w:p w:rsidR="00EA3ECC" w:rsidRDefault="000D3194">
            <w:pPr>
              <w:spacing w:line="300" w:lineRule="exact"/>
              <w:jc w:val="left"/>
              <w:rPr>
                <w:rFonts w:ascii="方正仿宋_GBK" w:eastAsia="方正仿宋_GBK" w:hAnsiTheme="majorEastAsia" w:cs="Times New Roman"/>
                <w:szCs w:val="24"/>
              </w:rPr>
            </w:pPr>
            <w:r>
              <w:rPr>
                <w:rFonts w:ascii="方正仿宋_GBK" w:eastAsia="方正仿宋_GBK" w:hAnsiTheme="majorEastAsia" w:cs="Times New Roman" w:hint="eastAsia"/>
                <w:szCs w:val="24"/>
              </w:rPr>
              <w:t>行政</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cs="Times New Roman"/>
                <w:szCs w:val="24"/>
              </w:rPr>
            </w:pPr>
            <w:r>
              <w:rPr>
                <w:rFonts w:ascii="方正仿宋_GBK" w:eastAsia="方正仿宋_GBK" w:hAnsiTheme="majorEastAsia" w:cs="Times New Roman" w:hint="eastAsia"/>
                <w:szCs w:val="24"/>
              </w:rPr>
              <w:t>正科级</w:t>
            </w:r>
          </w:p>
        </w:tc>
        <w:tc>
          <w:tcPr>
            <w:tcW w:w="2902" w:type="dxa"/>
            <w:shd w:val="clear" w:color="auto" w:fill="auto"/>
            <w:vAlign w:val="center"/>
          </w:tcPr>
          <w:p w:rsidR="00EA3ECC" w:rsidRDefault="000D3194">
            <w:pPr>
              <w:spacing w:line="300" w:lineRule="exact"/>
              <w:jc w:val="left"/>
              <w:rPr>
                <w:rFonts w:ascii="方正仿宋_GBK" w:eastAsia="方正仿宋_GBK" w:hAnsiTheme="majorEastAsia" w:cs="Times New Roman"/>
                <w:szCs w:val="24"/>
              </w:rPr>
            </w:pPr>
            <w:r>
              <w:rPr>
                <w:rFonts w:ascii="方正仿宋_GBK" w:eastAsia="方正仿宋_GBK" w:hAnsiTheme="majorEastAsia" w:hint="eastAsia"/>
              </w:rPr>
              <w:t>财政拨款</w:t>
            </w:r>
          </w:p>
        </w:tc>
      </w:tr>
    </w:tbl>
    <w:p w:rsidR="00EA3ECC" w:rsidRDefault="000D3194">
      <w:pPr>
        <w:ind w:firstLine="640"/>
        <w:rPr>
          <w:rFonts w:ascii="黑体" w:eastAsia="黑体" w:hAnsiTheme="majorEastAsia" w:cs="Times New Roman"/>
          <w:bCs/>
          <w:sz w:val="32"/>
          <w:szCs w:val="32"/>
        </w:rPr>
      </w:pPr>
      <w:r>
        <w:rPr>
          <w:rFonts w:ascii="黑体" w:eastAsia="黑体" w:hAnsiTheme="majorEastAsia" w:cs="Times New Roman" w:hint="eastAsia"/>
          <w:bCs/>
          <w:sz w:val="32"/>
          <w:szCs w:val="32"/>
        </w:rPr>
        <w:t>二、部门预算安排的总体情况</w:t>
      </w:r>
    </w:p>
    <w:p w:rsidR="00EA3ECC" w:rsidRDefault="000D3194">
      <w:pPr>
        <w:ind w:firstLine="640"/>
        <w:rPr>
          <w:rFonts w:ascii="仿宋_GB2312" w:eastAsia="仿宋_GB2312" w:hAnsiTheme="majorEastAsia" w:cs="Times New Roman"/>
          <w:sz w:val="32"/>
          <w:szCs w:val="32"/>
        </w:rPr>
      </w:pPr>
      <w:r>
        <w:rPr>
          <w:rFonts w:ascii="仿宋" w:eastAsia="仿宋" w:hAnsi="仿宋" w:cs="仿宋" w:hint="eastAsia"/>
          <w:sz w:val="32"/>
          <w:szCs w:val="32"/>
        </w:rPr>
        <w:t>按照预算管理有关规定，目前我市部门预算的编制实行综合预算制度，即全部收入和支出都反映在预算中。</w:t>
      </w:r>
    </w:p>
    <w:p w:rsidR="00EA3ECC" w:rsidRDefault="000D3194">
      <w:pPr>
        <w:ind w:firstLine="640"/>
        <w:rPr>
          <w:rFonts w:ascii="楷体" w:eastAsia="楷体" w:hAnsi="楷体" w:cs="楷体"/>
          <w:b/>
          <w:sz w:val="32"/>
          <w:szCs w:val="32"/>
        </w:rPr>
      </w:pPr>
      <w:r>
        <w:rPr>
          <w:rFonts w:ascii="楷体" w:eastAsia="楷体" w:hAnsi="楷体" w:cs="楷体" w:hint="eastAsia"/>
          <w:b/>
          <w:sz w:val="32"/>
          <w:szCs w:val="32"/>
        </w:rPr>
        <w:t>1、收入说明</w:t>
      </w:r>
    </w:p>
    <w:p w:rsidR="00EA3ECC" w:rsidRDefault="000D3194">
      <w:pPr>
        <w:ind w:firstLine="640"/>
        <w:rPr>
          <w:rFonts w:ascii="仿宋" w:eastAsia="仿宋" w:hAnsi="仿宋" w:cs="仿宋"/>
          <w:sz w:val="32"/>
          <w:szCs w:val="32"/>
        </w:rPr>
      </w:pPr>
      <w:r>
        <w:rPr>
          <w:rFonts w:ascii="仿宋" w:eastAsia="仿宋" w:hAnsi="仿宋" w:cs="仿宋" w:hint="eastAsia"/>
          <w:sz w:val="32"/>
          <w:szCs w:val="32"/>
        </w:rPr>
        <w:t>反映本部门当年全部收入。2017年预算收入2758.64万元，其中：一般公共预算收入2758.64万元，政府性基金收入0万元，国有资本经营收入0万元，事业收入0万元，其他收入0万元。</w:t>
      </w:r>
    </w:p>
    <w:p w:rsidR="00EA3ECC" w:rsidRDefault="000D3194">
      <w:pPr>
        <w:ind w:firstLine="640"/>
        <w:rPr>
          <w:rFonts w:ascii="楷体" w:eastAsia="楷体" w:hAnsi="楷体" w:cs="楷体"/>
          <w:b/>
          <w:sz w:val="32"/>
          <w:szCs w:val="32"/>
        </w:rPr>
      </w:pPr>
      <w:r>
        <w:rPr>
          <w:rFonts w:ascii="楷体" w:eastAsia="楷体" w:hAnsi="楷体" w:cs="楷体" w:hint="eastAsia"/>
          <w:b/>
          <w:sz w:val="32"/>
          <w:szCs w:val="32"/>
        </w:rPr>
        <w:lastRenderedPageBreak/>
        <w:t>2、支出说明</w:t>
      </w:r>
    </w:p>
    <w:p w:rsidR="00EA3ECC" w:rsidRDefault="000D3194">
      <w:pPr>
        <w:ind w:firstLine="640"/>
        <w:rPr>
          <w:rFonts w:ascii="仿宋_GB2312" w:eastAsia="仿宋_GB2312" w:hAnsiTheme="majorEastAsia" w:cs="Times New Roman"/>
          <w:sz w:val="32"/>
          <w:szCs w:val="32"/>
        </w:rPr>
      </w:pPr>
      <w:r>
        <w:rPr>
          <w:rFonts w:ascii="仿宋" w:eastAsia="仿宋" w:hAnsi="仿宋" w:cs="仿宋" w:hint="eastAsia"/>
          <w:sz w:val="32"/>
          <w:szCs w:val="32"/>
        </w:rPr>
        <w:t>收支预算总表支出栏、基本支出表、项目支出表按经济分类和支出功能分类科目编制，反映霸州市城市管理行政执法局年度部门预算中支出预算的总体情况。2017年本部门支出预算2758.64万元，其中基本支出2579.84万元，包括人员经费和日常公用经费；项目支出178.8万元，均为本级支出，主要为冯庄土地租赁经费10.8万元、城市专项整治工作经费50万元、胜芳分局三轮车治理工作经费50万元、数字城管运行经费24万元、停车保管费用44万元等。</w:t>
      </w:r>
    </w:p>
    <w:p w:rsidR="00EA3ECC" w:rsidRDefault="000D3194">
      <w:pPr>
        <w:ind w:firstLine="640"/>
        <w:rPr>
          <w:rFonts w:ascii="楷体" w:eastAsia="楷体" w:hAnsi="楷体" w:cs="楷体"/>
          <w:b/>
          <w:sz w:val="32"/>
          <w:szCs w:val="32"/>
        </w:rPr>
      </w:pPr>
      <w:r>
        <w:rPr>
          <w:rFonts w:ascii="楷体" w:eastAsia="楷体" w:hAnsi="楷体" w:cs="楷体" w:hint="eastAsia"/>
          <w:b/>
          <w:sz w:val="32"/>
          <w:szCs w:val="32"/>
        </w:rPr>
        <w:t>3、比上年增减情况</w:t>
      </w:r>
    </w:p>
    <w:p w:rsidR="00EA3ECC" w:rsidRDefault="000D3194">
      <w:pPr>
        <w:ind w:firstLine="640"/>
        <w:rPr>
          <w:rFonts w:ascii="仿宋" w:eastAsia="仿宋" w:hAnsi="仿宋" w:cs="仿宋"/>
          <w:sz w:val="32"/>
          <w:szCs w:val="32"/>
        </w:rPr>
      </w:pPr>
      <w:r>
        <w:rPr>
          <w:rFonts w:ascii="仿宋" w:eastAsia="仿宋" w:hAnsi="仿宋" w:cs="仿宋" w:hint="eastAsia"/>
          <w:sz w:val="32"/>
          <w:szCs w:val="32"/>
        </w:rPr>
        <w:t>2017年预算收支安排2758.64万元，较2016年预算增加482.8万元，其中：基本支出增加519.2万元，主要为增加人员经费支出；项目支出减少36.4万元，主要为数字城管建设项目支出。</w:t>
      </w:r>
    </w:p>
    <w:p w:rsidR="00EA3ECC" w:rsidRDefault="000D3194" w:rsidP="00793BEA">
      <w:pPr>
        <w:autoSpaceDE w:val="0"/>
        <w:autoSpaceDN w:val="0"/>
        <w:adjustRightInd w:val="0"/>
        <w:ind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三、机关运行经费安排情况</w:t>
      </w:r>
    </w:p>
    <w:p w:rsidR="00EA3ECC" w:rsidRDefault="000D3194" w:rsidP="00793BEA">
      <w:pPr>
        <w:autoSpaceDE w:val="0"/>
        <w:autoSpaceDN w:val="0"/>
        <w:adjustRightInd w:val="0"/>
        <w:ind w:firstLineChars="200" w:firstLine="640"/>
        <w:jc w:val="left"/>
        <w:rPr>
          <w:rFonts w:ascii="仿宋_GB2312" w:eastAsia="仿宋_GB2312" w:hAnsiTheme="majorEastAsia" w:cs="Times New Roman"/>
          <w:sz w:val="32"/>
          <w:szCs w:val="32"/>
        </w:rPr>
      </w:pPr>
      <w:r>
        <w:rPr>
          <w:rFonts w:ascii="仿宋" w:eastAsia="仿宋" w:hAnsi="仿宋" w:cs="仿宋" w:hint="eastAsia"/>
          <w:sz w:val="32"/>
          <w:szCs w:val="32"/>
        </w:rPr>
        <w:t>机关运行经费共计安排202.22万元，主要用于局内办公区的日常维修、办公用房水电费、办公用房取暖费、办公用房物业管理费等日常运行支出。</w:t>
      </w:r>
    </w:p>
    <w:p w:rsidR="00EA3ECC" w:rsidRDefault="000D3194" w:rsidP="00793BEA">
      <w:pPr>
        <w:autoSpaceDE w:val="0"/>
        <w:autoSpaceDN w:val="0"/>
        <w:adjustRightInd w:val="0"/>
        <w:ind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四、财政拨款“三公”经费预算情况及增减变化原因</w:t>
      </w:r>
    </w:p>
    <w:p w:rsidR="00EA3ECC" w:rsidRDefault="000D3194" w:rsidP="00793BEA">
      <w:pPr>
        <w:autoSpaceDE w:val="0"/>
        <w:autoSpaceDN w:val="0"/>
        <w:adjustRightInd w:val="0"/>
        <w:ind w:firstLineChars="200" w:firstLine="640"/>
        <w:jc w:val="left"/>
        <w:rPr>
          <w:rFonts w:ascii="仿宋_GB2312" w:eastAsia="仿宋_GB2312" w:hAnsi="Times New Roman" w:cs="Times New Roman"/>
          <w:sz w:val="32"/>
          <w:szCs w:val="32"/>
        </w:rPr>
      </w:pPr>
      <w:r>
        <w:rPr>
          <w:rFonts w:ascii="仿宋" w:eastAsia="仿宋" w:hAnsi="仿宋" w:cs="仿宋" w:hint="eastAsia"/>
          <w:sz w:val="32"/>
          <w:szCs w:val="32"/>
        </w:rPr>
        <w:lastRenderedPageBreak/>
        <w:t>2017年，我部门“三公”经费预算安排6.48万元。其中因公出国（境）费0万元；公务用车购置及运维费5万元（其中：公务用车购置费为0万元，公务用车运行费5万元)；公务接待费1.48万元，与2016年相比减少2.21万元，主要原因是严格控制接待标准和费用。</w:t>
      </w:r>
    </w:p>
    <w:p w:rsidR="00EA3ECC" w:rsidRDefault="000D3194" w:rsidP="00793BEA">
      <w:pPr>
        <w:ind w:firstLineChars="200" w:firstLine="643"/>
        <w:rPr>
          <w:rFonts w:ascii="黑体" w:eastAsia="黑体" w:hAnsiTheme="majorEastAsia" w:cs="Times New Roman"/>
          <w:b/>
          <w:sz w:val="32"/>
          <w:szCs w:val="32"/>
        </w:rPr>
      </w:pPr>
      <w:r>
        <w:rPr>
          <w:rFonts w:ascii="黑体" w:eastAsia="黑体" w:hAnsiTheme="majorEastAsia" w:cs="Times New Roman" w:hint="eastAsia"/>
          <w:b/>
          <w:sz w:val="32"/>
          <w:szCs w:val="32"/>
        </w:rPr>
        <w:t>五、绩效预算信息</w:t>
      </w:r>
    </w:p>
    <w:p w:rsidR="00EA3ECC" w:rsidRDefault="000D3194">
      <w:pPr>
        <w:ind w:firstLineChars="200" w:firstLine="643"/>
        <w:jc w:val="left"/>
        <w:rPr>
          <w:rFonts w:ascii="楷体" w:eastAsia="楷体" w:hAnsi="楷体" w:cs="楷体"/>
          <w:b/>
          <w:sz w:val="32"/>
          <w:szCs w:val="32"/>
        </w:rPr>
      </w:pPr>
      <w:bookmarkStart w:id="0" w:name="_Toc471398463"/>
      <w:r>
        <w:rPr>
          <w:rFonts w:ascii="楷体" w:eastAsia="楷体" w:hAnsi="楷体" w:cs="楷体" w:hint="eastAsia"/>
          <w:b/>
          <w:sz w:val="32"/>
          <w:szCs w:val="32"/>
        </w:rPr>
        <w:t>总体绩效目标：</w:t>
      </w:r>
    </w:p>
    <w:p w:rsidR="00EA3ECC" w:rsidRDefault="000D3194">
      <w:pPr>
        <w:ind w:firstLineChars="200" w:firstLine="640"/>
        <w:rPr>
          <w:rFonts w:ascii="仿宋" w:eastAsia="仿宋" w:hAnsi="仿宋" w:cs="仿宋"/>
          <w:sz w:val="32"/>
          <w:szCs w:val="32"/>
        </w:rPr>
      </w:pPr>
      <w:r>
        <w:rPr>
          <w:rFonts w:ascii="仿宋" w:eastAsia="仿宋" w:hAnsi="仿宋" w:cs="仿宋" w:hint="eastAsia"/>
          <w:sz w:val="32"/>
          <w:szCs w:val="32"/>
        </w:rPr>
        <w:t>2017年，我局紧紧围绕市委、市政府中心工作，不断理顺管理体制，破解管理难题，全面提升城市管理品质，为打造市民满意的幸福宜居城市奠定基础。通过抓队伍提高素质和能力，抓创新推动城市管理工作发展，落实精细管理，改善城市容貌，较好的完成了既定任务。现根据工作实际和工作目标，制定2017年各部门发展规划如下。</w:t>
      </w:r>
    </w:p>
    <w:p w:rsidR="00EA3ECC" w:rsidRDefault="000D3194">
      <w:pPr>
        <w:ind w:firstLine="560"/>
        <w:rPr>
          <w:rFonts w:ascii="仿宋" w:eastAsia="仿宋" w:hAnsi="仿宋" w:cs="仿宋"/>
          <w:sz w:val="32"/>
          <w:szCs w:val="32"/>
        </w:rPr>
      </w:pPr>
      <w:r>
        <w:rPr>
          <w:rFonts w:ascii="楷体_GB2312" w:eastAsia="楷体_GB2312" w:hAnsiTheme="majorEastAsia" w:hint="eastAsia"/>
          <w:b/>
          <w:sz w:val="32"/>
          <w:szCs w:val="32"/>
        </w:rPr>
        <w:t>（一）保障空气质量，根治露天烧烤。</w:t>
      </w:r>
      <w:r>
        <w:rPr>
          <w:rFonts w:ascii="仿宋" w:eastAsia="仿宋" w:hAnsi="仿宋" w:cs="仿宋" w:hint="eastAsia"/>
          <w:sz w:val="32"/>
          <w:szCs w:val="32"/>
        </w:rPr>
        <w:t>全面清查市区内烧烤实际情况，对每户烧烤商户建立跟踪台帐，根据实际情况设定禁止区、限制区、规范区。禁止区为市区主干道、大型广场、行政单位周边，严禁经营烧烤和露天操作；限制区为次干道、小街巷、居民聚集区，烧烤炉具必须进店经营，安装油烟净化设备；规范区为大型烧烤市场、城市环路及城乡结合部，所有炉灶安装油烟净化设备，保证环</w:t>
      </w:r>
      <w:r>
        <w:rPr>
          <w:rFonts w:ascii="仿宋" w:eastAsia="仿宋" w:hAnsi="仿宋" w:cs="仿宋" w:hint="eastAsia"/>
          <w:sz w:val="32"/>
          <w:szCs w:val="32"/>
        </w:rPr>
        <w:lastRenderedPageBreak/>
        <w:t>境卫生秩序良好。筹建大型烧烤市场，将闲散烧烤商贩、烧烤集中区域的烧烤店统一迁至烧烤市场经营。</w:t>
      </w:r>
    </w:p>
    <w:p w:rsidR="00EA3ECC" w:rsidRDefault="000D3194">
      <w:pPr>
        <w:ind w:firstLine="560"/>
        <w:rPr>
          <w:rFonts w:ascii="仿宋" w:eastAsia="仿宋" w:hAnsi="仿宋" w:cs="仿宋"/>
          <w:sz w:val="32"/>
          <w:szCs w:val="32"/>
        </w:rPr>
      </w:pPr>
      <w:r>
        <w:rPr>
          <w:rFonts w:ascii="楷体_GB2312" w:eastAsia="楷体_GB2312" w:hAnsiTheme="majorEastAsia" w:hint="eastAsia"/>
          <w:b/>
          <w:sz w:val="32"/>
          <w:szCs w:val="32"/>
        </w:rPr>
        <w:t>（二）深化综合治理，提升市容环境。</w:t>
      </w:r>
      <w:r>
        <w:rPr>
          <w:rFonts w:ascii="仿宋" w:eastAsia="仿宋" w:hAnsi="仿宋" w:cs="仿宋" w:hint="eastAsia"/>
          <w:sz w:val="32"/>
          <w:szCs w:val="32"/>
        </w:rPr>
        <w:t>严格落实道路分级管理、队员包门店等管理制度，深入开展主次干道、重点区域、背街小巷综合治理，集中治理各类城市乱象，全面提升城市管理水平，逐步实现城市管理向 标准化、精细化、常态化转变。</w:t>
      </w:r>
    </w:p>
    <w:p w:rsidR="00EA3ECC" w:rsidRDefault="000D3194">
      <w:pPr>
        <w:ind w:firstLine="560"/>
        <w:rPr>
          <w:rFonts w:ascii="仿宋_GB2312" w:eastAsia="仿宋_GB2312" w:hAnsiTheme="majorEastAsia"/>
          <w:sz w:val="32"/>
          <w:szCs w:val="32"/>
        </w:rPr>
      </w:pPr>
      <w:r>
        <w:rPr>
          <w:rFonts w:ascii="楷体_GB2312" w:eastAsia="楷体_GB2312" w:hAnsiTheme="majorEastAsia" w:hint="eastAsia"/>
          <w:b/>
          <w:sz w:val="32"/>
          <w:szCs w:val="32"/>
        </w:rPr>
        <w:t>（三）拓展数字城管，创新服务模式。</w:t>
      </w:r>
      <w:r>
        <w:rPr>
          <w:rFonts w:ascii="仿宋" w:eastAsia="仿宋" w:hAnsi="仿宋" w:cs="仿宋" w:hint="eastAsia"/>
          <w:sz w:val="32"/>
          <w:szCs w:val="32"/>
        </w:rPr>
        <w:t>完善监管考核机制，形成一套发现及时、反应迅速、处置到位的运行机制，推动城市管理由简单粗放向科学、智能、精细、长效转变。加强巡查力度，提升案件办结率。完善建筑工地视频监控系统，完成市区所有工地的联网工作。</w:t>
      </w:r>
    </w:p>
    <w:p w:rsidR="00EA3ECC" w:rsidRDefault="000D3194">
      <w:pPr>
        <w:ind w:firstLine="560"/>
        <w:rPr>
          <w:rFonts w:ascii="仿宋" w:eastAsia="仿宋" w:hAnsi="仿宋" w:cs="仿宋"/>
          <w:sz w:val="32"/>
          <w:szCs w:val="32"/>
        </w:rPr>
      </w:pPr>
      <w:r>
        <w:rPr>
          <w:rFonts w:ascii="楷体_GB2312" w:eastAsia="楷体_GB2312" w:hAnsiTheme="majorEastAsia" w:hint="eastAsia"/>
          <w:b/>
          <w:sz w:val="32"/>
          <w:szCs w:val="32"/>
        </w:rPr>
        <w:t>（四）强化规划执法，严控私搭乱建。</w:t>
      </w:r>
      <w:r>
        <w:rPr>
          <w:rFonts w:ascii="仿宋" w:eastAsia="仿宋" w:hAnsi="仿宋" w:cs="仿宋" w:hint="eastAsia"/>
          <w:sz w:val="32"/>
          <w:szCs w:val="32"/>
        </w:rPr>
        <w:t>一是继续保持高压态势，强化大型工地监管。与规划、建设、房管等相关部门协调联动，加大对大型房地产开发项目的监督管理，严厉打击超容积率、少报多建、侵占红线等违法行为。二是严控城乡结合部违建行为。加大对城乡结合部、城中村等区域违章建筑的查处和拆除力度，坚持“勤巡查、早发现、快制止、严处理”的工作方针，严控违法建设行为的滋生蔓延。三是积极探索乡镇规划执法管理工作新机制。建立和完善乡镇执法大队，积极协调配合各</w:t>
      </w:r>
      <w:r>
        <w:rPr>
          <w:rFonts w:ascii="仿宋" w:eastAsia="仿宋" w:hAnsi="仿宋" w:cs="仿宋" w:hint="eastAsia"/>
          <w:sz w:val="32"/>
          <w:szCs w:val="32"/>
        </w:rPr>
        <w:lastRenderedPageBreak/>
        <w:t>乡镇，建立起乡镇主管、村街监督、执法部门全程参与的立体网格式监管体系。确保规划管理不留天窗、不留空白。</w:t>
      </w:r>
    </w:p>
    <w:p w:rsidR="00EA3ECC" w:rsidRDefault="000D3194">
      <w:pPr>
        <w:ind w:firstLine="560"/>
        <w:rPr>
          <w:rFonts w:ascii="仿宋" w:eastAsia="仿宋" w:hAnsi="仿宋" w:cs="仿宋"/>
          <w:sz w:val="32"/>
          <w:szCs w:val="32"/>
        </w:rPr>
      </w:pPr>
      <w:r>
        <w:rPr>
          <w:rFonts w:ascii="楷体_GB2312" w:eastAsia="楷体_GB2312" w:hAnsiTheme="majorEastAsia" w:hint="eastAsia"/>
          <w:b/>
          <w:sz w:val="32"/>
          <w:szCs w:val="32"/>
        </w:rPr>
        <w:t>（五）整合广告资源，靓化美化市容。</w:t>
      </w:r>
      <w:r>
        <w:rPr>
          <w:rFonts w:ascii="仿宋" w:eastAsia="仿宋" w:hAnsi="仿宋" w:cs="仿宋" w:hint="eastAsia"/>
          <w:sz w:val="32"/>
          <w:szCs w:val="32"/>
        </w:rPr>
        <w:t>一是规范大型广告设置。加强对建筑物楼顶、墙体、灯杆及铁道桥、高速桥桥体广告、大型电子显示屏的监督管理。二是抓好新建小区底商广告设置。三是开展小广告发布平台建设。对怀来信息岛建设进行改良，根据自身实际，在市区校园周边、大型社区、公共广场、公交站台等人流聚集区设置小广告发布信息岛，并对信息发布栏进行统一分栏设计，方便市民张贴合法便民广告信息。</w:t>
      </w:r>
    </w:p>
    <w:p w:rsidR="00EA3ECC" w:rsidRDefault="000D3194">
      <w:pPr>
        <w:ind w:firstLine="560"/>
        <w:rPr>
          <w:rFonts w:ascii="仿宋" w:eastAsia="仿宋" w:hAnsi="仿宋" w:cs="仿宋"/>
          <w:b/>
          <w:sz w:val="28"/>
        </w:rPr>
      </w:pPr>
      <w:r>
        <w:rPr>
          <w:rFonts w:ascii="楷体_GB2312" w:eastAsia="楷体_GB2312" w:hAnsiTheme="majorEastAsia" w:hint="eastAsia"/>
          <w:b/>
          <w:sz w:val="32"/>
          <w:szCs w:val="32"/>
        </w:rPr>
        <w:t>（六）实施重点突破，改善东市区环境。</w:t>
      </w:r>
      <w:r>
        <w:rPr>
          <w:rFonts w:ascii="仿宋" w:eastAsia="仿宋" w:hAnsi="仿宋" w:cs="仿宋" w:hint="eastAsia"/>
          <w:sz w:val="32"/>
          <w:szCs w:val="32"/>
        </w:rPr>
        <w:t>持续加大对东市区的环境整治力度，在巩固精品示范线建设、环境治理攻坚战治理成果的基础上，重点治理占道经营、整顿广告牌匾、查处违章建筑、建设便民市场、打击非法营运三轮车等工作。</w:t>
      </w:r>
    </w:p>
    <w:p w:rsidR="00EA3ECC" w:rsidRDefault="000D3194">
      <w:pPr>
        <w:rPr>
          <w:rFonts w:ascii="楷体_GB2312" w:eastAsia="楷体_GB2312" w:hAnsiTheme="majorEastAsia" w:cs="Times New Roman"/>
          <w:b/>
          <w:sz w:val="32"/>
          <w:szCs w:val="32"/>
        </w:rPr>
      </w:pPr>
      <w:r>
        <w:rPr>
          <w:rFonts w:ascii="楷体_GB2312" w:eastAsia="楷体_GB2312" w:hAnsiTheme="majorEastAsia" w:cs="Times New Roman" w:hint="eastAsia"/>
          <w:b/>
          <w:sz w:val="32"/>
          <w:szCs w:val="32"/>
        </w:rPr>
        <w:t>部门职责及工作活动绩效目标指标：</w:t>
      </w:r>
    </w:p>
    <w:p w:rsidR="00EA3ECC" w:rsidRDefault="00EA3ECC">
      <w:pPr>
        <w:jc w:val="center"/>
        <w:outlineLvl w:val="0"/>
        <w:rPr>
          <w:rFonts w:ascii="方正仿宋_GBK" w:eastAsia="方正仿宋_GBK" w:hAnsiTheme="majorEastAsia"/>
          <w:sz w:val="32"/>
        </w:rPr>
      </w:pPr>
      <w:bookmarkStart w:id="1" w:name="_Toc476770359"/>
      <w:bookmarkEnd w:id="0"/>
    </w:p>
    <w:p w:rsidR="00EA3ECC" w:rsidRDefault="000D3194">
      <w:pPr>
        <w:jc w:val="center"/>
        <w:outlineLvl w:val="0"/>
        <w:rPr>
          <w:rFonts w:ascii="方正仿宋_GBK" w:eastAsia="方正仿宋_GBK" w:hAnsiTheme="majorEastAsia"/>
          <w:sz w:val="32"/>
        </w:rPr>
      </w:pPr>
      <w:r>
        <w:rPr>
          <w:rFonts w:ascii="方正仿宋_GBK" w:eastAsia="方正仿宋_GBK" w:hAnsiTheme="majorEastAsia"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EA3EC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A3ECC" w:rsidRDefault="000D3194">
            <w:pPr>
              <w:spacing w:line="300" w:lineRule="exact"/>
              <w:jc w:val="left"/>
              <w:rPr>
                <w:rFonts w:ascii="方正仿宋_GBK" w:eastAsia="方正仿宋_GBK" w:hAnsiTheme="majorEastAsia"/>
                <w:sz w:val="24"/>
              </w:rPr>
            </w:pPr>
            <w:r>
              <w:rPr>
                <w:rFonts w:ascii="方正仿宋_GBK" w:eastAsia="方正仿宋_GBK" w:hAnsiTheme="majorEastAsia" w:hint="eastAsia"/>
                <w:sz w:val="24"/>
              </w:rPr>
              <w:lastRenderedPageBreak/>
              <w:t>814霸州市城市管理行政执法局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A3ECC" w:rsidRDefault="000D3194">
            <w:pPr>
              <w:spacing w:line="300" w:lineRule="exact"/>
              <w:jc w:val="right"/>
              <w:rPr>
                <w:rFonts w:ascii="方正仿宋_GBK" w:eastAsia="方正仿宋_GBK" w:hAnsiTheme="majorEastAsia"/>
                <w:sz w:val="24"/>
              </w:rPr>
            </w:pPr>
            <w:r>
              <w:rPr>
                <w:rFonts w:ascii="方正仿宋_GBK" w:eastAsia="方正仿宋_GBK" w:hAnsiTheme="majorEastAsia" w:hint="eastAsia"/>
                <w:sz w:val="24"/>
              </w:rPr>
              <w:t>单位：万元</w:t>
            </w:r>
          </w:p>
        </w:tc>
      </w:tr>
      <w:tr w:rsidR="00EA3ECC">
        <w:trPr>
          <w:trHeight w:val="227"/>
          <w:tblHeader/>
          <w:jc w:val="center"/>
        </w:trPr>
        <w:tc>
          <w:tcPr>
            <w:tcW w:w="2341" w:type="dxa"/>
            <w:vMerge w:val="restart"/>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职责活动</w:t>
            </w:r>
          </w:p>
        </w:tc>
        <w:tc>
          <w:tcPr>
            <w:tcW w:w="1276" w:type="dxa"/>
            <w:vMerge w:val="restart"/>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年度预算数</w:t>
            </w:r>
          </w:p>
        </w:tc>
        <w:tc>
          <w:tcPr>
            <w:tcW w:w="2976" w:type="dxa"/>
            <w:vMerge w:val="restart"/>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内容描述</w:t>
            </w:r>
          </w:p>
        </w:tc>
        <w:tc>
          <w:tcPr>
            <w:tcW w:w="2976" w:type="dxa"/>
            <w:vMerge w:val="restart"/>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绩效目标</w:t>
            </w:r>
          </w:p>
        </w:tc>
        <w:tc>
          <w:tcPr>
            <w:tcW w:w="1417" w:type="dxa"/>
            <w:vMerge w:val="restart"/>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绩效指标</w:t>
            </w:r>
          </w:p>
        </w:tc>
        <w:tc>
          <w:tcPr>
            <w:tcW w:w="2948" w:type="dxa"/>
            <w:gridSpan w:val="4"/>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评价标准</w:t>
            </w:r>
          </w:p>
        </w:tc>
      </w:tr>
      <w:tr w:rsidR="00EA3ECC">
        <w:trPr>
          <w:trHeight w:val="227"/>
          <w:tblHeader/>
          <w:jc w:val="center"/>
        </w:trPr>
        <w:tc>
          <w:tcPr>
            <w:tcW w:w="2341" w:type="dxa"/>
            <w:vMerge/>
            <w:shd w:val="clear" w:color="auto" w:fill="auto"/>
            <w:vAlign w:val="center"/>
          </w:tcPr>
          <w:p w:rsidR="00EA3ECC" w:rsidRDefault="00EA3ECC">
            <w:pPr>
              <w:spacing w:line="300" w:lineRule="exact"/>
              <w:jc w:val="left"/>
              <w:outlineLvl w:val="0"/>
              <w:rPr>
                <w:rFonts w:ascii="方正仿宋_GBK" w:eastAsia="方正仿宋_GBK" w:hAnsiTheme="majorEastAsia"/>
              </w:rPr>
            </w:pPr>
          </w:p>
        </w:tc>
        <w:tc>
          <w:tcPr>
            <w:tcW w:w="1276" w:type="dxa"/>
            <w:vMerge/>
            <w:shd w:val="clear" w:color="auto" w:fill="auto"/>
            <w:vAlign w:val="center"/>
          </w:tcPr>
          <w:p w:rsidR="00EA3ECC" w:rsidRDefault="00EA3ECC">
            <w:pPr>
              <w:spacing w:line="300" w:lineRule="exact"/>
              <w:jc w:val="left"/>
              <w:outlineLvl w:val="0"/>
              <w:rPr>
                <w:rFonts w:ascii="方正仿宋_GBK" w:eastAsia="方正仿宋_GBK" w:hAnsiTheme="majorEastAsia"/>
              </w:rPr>
            </w:pPr>
          </w:p>
        </w:tc>
        <w:tc>
          <w:tcPr>
            <w:tcW w:w="2976" w:type="dxa"/>
            <w:vMerge/>
            <w:shd w:val="clear" w:color="auto" w:fill="auto"/>
            <w:vAlign w:val="center"/>
          </w:tcPr>
          <w:p w:rsidR="00EA3ECC" w:rsidRDefault="00EA3ECC">
            <w:pPr>
              <w:spacing w:line="300" w:lineRule="exact"/>
              <w:jc w:val="left"/>
              <w:outlineLvl w:val="0"/>
              <w:rPr>
                <w:rFonts w:ascii="方正仿宋_GBK" w:eastAsia="方正仿宋_GBK" w:hAnsiTheme="majorEastAsia"/>
              </w:rPr>
            </w:pPr>
          </w:p>
        </w:tc>
        <w:tc>
          <w:tcPr>
            <w:tcW w:w="2976" w:type="dxa"/>
            <w:vMerge/>
            <w:shd w:val="clear" w:color="auto" w:fill="auto"/>
            <w:vAlign w:val="center"/>
          </w:tcPr>
          <w:p w:rsidR="00EA3ECC" w:rsidRDefault="00EA3ECC">
            <w:pPr>
              <w:spacing w:line="300" w:lineRule="exact"/>
              <w:jc w:val="left"/>
              <w:outlineLvl w:val="0"/>
              <w:rPr>
                <w:rFonts w:ascii="方正仿宋_GBK" w:eastAsia="方正仿宋_GBK" w:hAnsiTheme="majorEastAsia"/>
              </w:rPr>
            </w:pPr>
          </w:p>
        </w:tc>
        <w:tc>
          <w:tcPr>
            <w:tcW w:w="1417" w:type="dxa"/>
            <w:vMerge/>
            <w:shd w:val="clear" w:color="auto" w:fill="auto"/>
            <w:vAlign w:val="center"/>
          </w:tcPr>
          <w:p w:rsidR="00EA3ECC" w:rsidRDefault="00EA3ECC">
            <w:pPr>
              <w:spacing w:line="300" w:lineRule="exact"/>
              <w:jc w:val="left"/>
              <w:outlineLvl w:val="0"/>
              <w:rPr>
                <w:rFonts w:ascii="方正仿宋_GBK" w:eastAsia="方正仿宋_GBK" w:hAnsiTheme="majorEastAsia"/>
              </w:rPr>
            </w:pP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优</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良</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中</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b/>
              </w:rPr>
            </w:pPr>
            <w:r>
              <w:rPr>
                <w:rFonts w:ascii="方正仿宋_GBK" w:eastAsia="方正仿宋_GBK" w:hAnsiTheme="majorEastAsia" w:hint="eastAsia"/>
                <w:b/>
              </w:rPr>
              <w:t>差</w:t>
            </w: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t>市容环境卫生方面执法管理</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134.80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贯彻实施国家及本市有关城市管理方面的法律、法规及规章，治理和维护城市管理秩序。依法行使市容环卫、城乡规划、城市绿化、工商行政、市政设施、环境保护、交通运输等方面的全部或部分行政处罚权。</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依法依规拟定全市城市管理规整制度并付诸实施；维护良好市容秩序，维护城市良好形象；提高市民城市意识和文明素质。</w:t>
            </w:r>
          </w:p>
        </w:tc>
        <w:tc>
          <w:tcPr>
            <w:tcW w:w="1417" w:type="dxa"/>
            <w:shd w:val="clear" w:color="auto" w:fill="auto"/>
            <w:vAlign w:val="center"/>
          </w:tcPr>
          <w:p w:rsidR="00EA3ECC" w:rsidRDefault="00EA3ECC">
            <w:pPr>
              <w:spacing w:line="300" w:lineRule="exact"/>
              <w:jc w:val="left"/>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流动摊点、临时市场日常监督</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10.80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科学制定道路管理等级标准，采取疏堵结合原则，严格对流动摊点和临时市场监管，严禁出现非法聚集占道，堵塞交通现象发生。</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加大治理和宣传力度，做到早发现、早治理，做到既方便群众生活，又不扰民和影响交通。禁止出现占道摊群、占道早市和夜市现象。</w:t>
            </w:r>
          </w:p>
        </w:tc>
        <w:tc>
          <w:tcPr>
            <w:tcW w:w="1417"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专项检查次数和违法处理情况</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35</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30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25</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≤20</w:t>
            </w: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综合事务管理</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100.00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综合执法工作运转保障，包括会议组织、政务督办、档案管理、信访接待、政务信息、行政复议、对外宣传、干部培训、调研活动等行政事务；开展政府信息公开、行政许可事项受理、信息化建设、机关财务和资产管理、基建及维修等管理</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保障机关工作正常工作高效运转</w:t>
            </w:r>
          </w:p>
        </w:tc>
        <w:tc>
          <w:tcPr>
            <w:tcW w:w="1417"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综合事务保障率</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≤60%</w:t>
            </w: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t xml:space="preserve">　　数字城管日常运行及维护</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24.00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搭建全局性的信息共享平台，实现实时定位、指挥、督查及信息反馈。</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确保数字城管中心正常运行，有效提高工作效率</w:t>
            </w:r>
          </w:p>
        </w:tc>
        <w:tc>
          <w:tcPr>
            <w:tcW w:w="1417"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案件结案率、处置率</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≤60%</w:t>
            </w: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t>城乡建设管理</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44.00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指导城市市政公用设施建设、</w:t>
            </w:r>
            <w:r>
              <w:rPr>
                <w:rFonts w:ascii="方正仿宋_GBK" w:eastAsia="方正仿宋_GBK" w:hAnsiTheme="majorEastAsia" w:hint="eastAsia"/>
              </w:rPr>
              <w:lastRenderedPageBreak/>
              <w:t>安全和应急管理；拟定风景名胜区的发展规划、政策并指导实施；拟定村庄和小城镇建设政策并指导实施；指导镇、乡村庄规划的编制和实施；指导农村住房建设、住房安全和危房改造；改善小城镇和村庄人居环境；指导做好国家级重点镇及市级重点镇的建设。</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lastRenderedPageBreak/>
              <w:t>加强管理，提高城市承载能力</w:t>
            </w:r>
            <w:r>
              <w:rPr>
                <w:rFonts w:ascii="方正仿宋_GBK" w:eastAsia="方正仿宋_GBK" w:hAnsiTheme="majorEastAsia" w:hint="eastAsia"/>
              </w:rPr>
              <w:lastRenderedPageBreak/>
              <w:t>和宜居度。加强村镇建设，改善农村人居环境，实现城乡统筹发展。协调和指导推进城镇化工作，加快城镇化进程。指导城市建设投融资体制改革，破解融资难题。</w:t>
            </w:r>
          </w:p>
        </w:tc>
        <w:tc>
          <w:tcPr>
            <w:tcW w:w="1417" w:type="dxa"/>
            <w:shd w:val="clear" w:color="auto" w:fill="auto"/>
            <w:vAlign w:val="center"/>
          </w:tcPr>
          <w:p w:rsidR="00EA3ECC" w:rsidRDefault="00EA3ECC">
            <w:pPr>
              <w:spacing w:line="300" w:lineRule="exact"/>
              <w:jc w:val="left"/>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c>
          <w:tcPr>
            <w:tcW w:w="737" w:type="dxa"/>
            <w:shd w:val="clear" w:color="auto" w:fill="auto"/>
            <w:vAlign w:val="center"/>
          </w:tcPr>
          <w:p w:rsidR="00EA3ECC" w:rsidRDefault="00EA3ECC">
            <w:pPr>
              <w:spacing w:line="300" w:lineRule="exact"/>
              <w:jc w:val="center"/>
              <w:rPr>
                <w:rFonts w:ascii="方正仿宋_GBK" w:eastAsia="方正仿宋_GBK" w:hAnsiTheme="majorEastAsia"/>
              </w:rPr>
            </w:pPr>
          </w:p>
        </w:tc>
      </w:tr>
      <w:tr w:rsidR="00EA3ECC">
        <w:trPr>
          <w:trHeight w:val="227"/>
          <w:jc w:val="center"/>
        </w:trPr>
        <w:tc>
          <w:tcPr>
            <w:tcW w:w="2341" w:type="dxa"/>
            <w:shd w:val="clear" w:color="auto" w:fill="auto"/>
            <w:vAlign w:val="center"/>
          </w:tcPr>
          <w:p w:rsidR="00EA3ECC" w:rsidRDefault="000D3194">
            <w:pPr>
              <w:spacing w:line="300" w:lineRule="exact"/>
              <w:jc w:val="left"/>
              <w:rPr>
                <w:rFonts w:ascii="方正仿宋_GBK" w:eastAsia="方正仿宋_GBK" w:hAnsiTheme="majorEastAsia"/>
                <w:b/>
              </w:rPr>
            </w:pPr>
            <w:r>
              <w:rPr>
                <w:rFonts w:ascii="方正仿宋_GBK" w:eastAsia="方正仿宋_GBK" w:hAnsiTheme="majorEastAsia" w:hint="eastAsia"/>
                <w:b/>
              </w:rPr>
              <w:lastRenderedPageBreak/>
              <w:t xml:space="preserve">　　城市容貌环境综合整治</w:t>
            </w:r>
          </w:p>
        </w:tc>
        <w:tc>
          <w:tcPr>
            <w:tcW w:w="12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44.00</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指导城市市容环境治理、城建监察、数字化城市管理系统平台建设及运行等各项工作，加强餐厨废弃物管理，改善人居环境，大气污染治理。</w:t>
            </w:r>
          </w:p>
        </w:tc>
        <w:tc>
          <w:tcPr>
            <w:tcW w:w="2976"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加快数字化城管平台建设，实现城市管理信息化</w:t>
            </w:r>
          </w:p>
        </w:tc>
        <w:tc>
          <w:tcPr>
            <w:tcW w:w="1417" w:type="dxa"/>
            <w:shd w:val="clear" w:color="auto" w:fill="auto"/>
            <w:vAlign w:val="center"/>
          </w:tcPr>
          <w:p w:rsidR="00EA3ECC" w:rsidRDefault="000D3194">
            <w:pPr>
              <w:spacing w:line="300" w:lineRule="exact"/>
              <w:jc w:val="left"/>
              <w:rPr>
                <w:rFonts w:ascii="方正仿宋_GBK" w:eastAsia="方正仿宋_GBK" w:hAnsiTheme="majorEastAsia"/>
              </w:rPr>
            </w:pPr>
            <w:r>
              <w:rPr>
                <w:rFonts w:ascii="方正仿宋_GBK" w:eastAsia="方正仿宋_GBK" w:hAnsiTheme="majorEastAsia" w:hint="eastAsia"/>
              </w:rPr>
              <w:t>数字化城管平台建设率</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90%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80%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70%</w:t>
            </w:r>
          </w:p>
        </w:tc>
        <w:tc>
          <w:tcPr>
            <w:tcW w:w="737" w:type="dxa"/>
            <w:shd w:val="clear" w:color="auto" w:fill="auto"/>
            <w:vAlign w:val="center"/>
          </w:tcPr>
          <w:p w:rsidR="00EA3ECC" w:rsidRDefault="000D3194">
            <w:pPr>
              <w:spacing w:line="300" w:lineRule="exact"/>
              <w:jc w:val="center"/>
              <w:rPr>
                <w:rFonts w:ascii="方正仿宋_GBK" w:eastAsia="方正仿宋_GBK" w:hAnsiTheme="majorEastAsia"/>
              </w:rPr>
            </w:pPr>
            <w:r>
              <w:rPr>
                <w:rFonts w:ascii="方正仿宋_GBK" w:eastAsia="方正仿宋_GBK" w:hAnsiTheme="majorEastAsia" w:hint="eastAsia"/>
              </w:rPr>
              <w:t>≤60%</w:t>
            </w:r>
          </w:p>
        </w:tc>
      </w:tr>
    </w:tbl>
    <w:p w:rsidR="00EA3ECC" w:rsidRDefault="00EA3ECC">
      <w:pPr>
        <w:autoSpaceDE w:val="0"/>
        <w:autoSpaceDN w:val="0"/>
        <w:adjustRightInd w:val="0"/>
        <w:ind w:left="200"/>
        <w:jc w:val="left"/>
        <w:rPr>
          <w:rFonts w:ascii="方正仿宋_GBK" w:eastAsia="方正仿宋_GBK" w:hAnsiTheme="majorEastAsia" w:cs="宋体"/>
          <w:kern w:val="0"/>
          <w:sz w:val="18"/>
          <w:szCs w:val="18"/>
          <w:lang w:val="zh-CN"/>
        </w:rPr>
      </w:pPr>
    </w:p>
    <w:p w:rsidR="00EA3ECC" w:rsidRDefault="000D3194" w:rsidP="00793BEA">
      <w:pPr>
        <w:autoSpaceDE w:val="0"/>
        <w:autoSpaceDN w:val="0"/>
        <w:adjustRightInd w:val="0"/>
        <w:ind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六、政府采购预算情况</w:t>
      </w:r>
      <w:bookmarkStart w:id="2" w:name="_Toc471398468"/>
    </w:p>
    <w:p w:rsidR="00EA3ECC" w:rsidRDefault="000D3194" w:rsidP="00793BEA">
      <w:pPr>
        <w:autoSpaceDE w:val="0"/>
        <w:autoSpaceDN w:val="0"/>
        <w:adjustRightInd w:val="0"/>
        <w:ind w:firstLineChars="200" w:firstLine="640"/>
        <w:jc w:val="left"/>
        <w:rPr>
          <w:rFonts w:ascii="仿宋" w:eastAsia="仿宋" w:hAnsi="仿宋" w:cs="仿宋"/>
          <w:sz w:val="32"/>
          <w:szCs w:val="32"/>
        </w:rPr>
      </w:pPr>
      <w:r>
        <w:rPr>
          <w:rFonts w:ascii="仿宋" w:eastAsia="仿宋" w:hAnsi="仿宋" w:cs="仿宋" w:hint="eastAsia"/>
          <w:sz w:val="32"/>
          <w:szCs w:val="24"/>
        </w:rPr>
        <w:t>2017年，我部门未安排政府采购预算。</w:t>
      </w:r>
      <w:bookmarkEnd w:id="2"/>
    </w:p>
    <w:p w:rsidR="00EA3ECC" w:rsidRDefault="000D3194" w:rsidP="00793BEA">
      <w:pPr>
        <w:autoSpaceDE w:val="0"/>
        <w:autoSpaceDN w:val="0"/>
        <w:adjustRightInd w:val="0"/>
        <w:ind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七、国有资产信息</w:t>
      </w:r>
    </w:p>
    <w:p w:rsidR="00EA3ECC" w:rsidRDefault="000D3194" w:rsidP="00793BEA">
      <w:pPr>
        <w:spacing w:line="580" w:lineRule="atLeast"/>
        <w:ind w:firstLineChars="200" w:firstLine="640"/>
        <w:rPr>
          <w:rFonts w:ascii="仿宋" w:eastAsia="仿宋" w:hAnsi="仿宋" w:cs="仿宋"/>
          <w:sz w:val="32"/>
          <w:szCs w:val="32"/>
        </w:rPr>
      </w:pPr>
      <w:r>
        <w:rPr>
          <w:rFonts w:ascii="仿宋" w:eastAsia="仿宋" w:hAnsi="仿宋" w:cs="仿宋" w:hint="eastAsia"/>
          <w:sz w:val="32"/>
          <w:szCs w:val="32"/>
        </w:rPr>
        <w:t>霸州市城市管理行政执法局（含所属单位）上年末固定资产金额为</w:t>
      </w:r>
      <w:r>
        <w:rPr>
          <w:rFonts w:ascii="仿宋" w:eastAsia="仿宋" w:hAnsi="仿宋" w:cs="仿宋" w:hint="eastAsia"/>
          <w:kern w:val="0"/>
          <w:sz w:val="32"/>
          <w:szCs w:val="32"/>
        </w:rPr>
        <w:t>690.69</w:t>
      </w:r>
      <w:r>
        <w:rPr>
          <w:rFonts w:ascii="仿宋" w:eastAsia="仿宋" w:hAnsi="仿宋" w:cs="仿宋" w:hint="eastAsia"/>
          <w:sz w:val="32"/>
          <w:szCs w:val="32"/>
        </w:rPr>
        <w:t>万元。 本年度我部门</w:t>
      </w:r>
      <w:r>
        <w:rPr>
          <w:rFonts w:ascii="仿宋" w:eastAsia="仿宋" w:hAnsi="仿宋" w:cs="仿宋" w:hint="eastAsia"/>
          <w:sz w:val="32"/>
          <w:szCs w:val="32"/>
        </w:rPr>
        <w:lastRenderedPageBreak/>
        <w:t>没有国有资产新增计划。</w:t>
      </w:r>
    </w:p>
    <w:tbl>
      <w:tblPr>
        <w:tblW w:w="13420" w:type="dxa"/>
        <w:tblInd w:w="93" w:type="dxa"/>
        <w:tblLayout w:type="fixed"/>
        <w:tblLook w:val="04A0"/>
      </w:tblPr>
      <w:tblGrid>
        <w:gridCol w:w="5200"/>
        <w:gridCol w:w="3140"/>
        <w:gridCol w:w="5080"/>
      </w:tblGrid>
      <w:tr w:rsidR="00EA3ECC">
        <w:trPr>
          <w:trHeight w:val="90"/>
        </w:trPr>
        <w:tc>
          <w:tcPr>
            <w:tcW w:w="13420" w:type="dxa"/>
            <w:gridSpan w:val="3"/>
            <w:tcBorders>
              <w:top w:val="nil"/>
              <w:left w:val="nil"/>
              <w:bottom w:val="nil"/>
              <w:right w:val="nil"/>
            </w:tcBorders>
            <w:shd w:val="clear" w:color="auto" w:fill="auto"/>
            <w:vAlign w:val="center"/>
          </w:tcPr>
          <w:p w:rsidR="00EA3ECC" w:rsidRDefault="00EA3ECC">
            <w:pPr>
              <w:widowControl/>
              <w:jc w:val="center"/>
              <w:rPr>
                <w:rFonts w:ascii="方正仿宋_GBK" w:eastAsia="方正仿宋_GBK" w:hAnsiTheme="majorEastAsia" w:cs="宋体"/>
                <w:b/>
                <w:bCs/>
                <w:kern w:val="0"/>
                <w:sz w:val="32"/>
                <w:szCs w:val="32"/>
              </w:rPr>
            </w:pPr>
          </w:p>
          <w:p w:rsidR="00EA3ECC" w:rsidRDefault="000D3194">
            <w:pPr>
              <w:widowControl/>
              <w:jc w:val="center"/>
              <w:rPr>
                <w:rFonts w:ascii="方正仿宋_GBK" w:eastAsia="方正仿宋_GBK" w:hAnsiTheme="majorEastAsia" w:cs="宋体"/>
                <w:b/>
                <w:bCs/>
                <w:kern w:val="0"/>
                <w:sz w:val="32"/>
                <w:szCs w:val="32"/>
              </w:rPr>
            </w:pPr>
            <w:r>
              <w:rPr>
                <w:rFonts w:ascii="方正仿宋_GBK" w:eastAsia="方正仿宋_GBK" w:hAnsiTheme="majorEastAsia" w:cs="宋体" w:hint="eastAsia"/>
                <w:b/>
                <w:bCs/>
                <w:kern w:val="0"/>
                <w:sz w:val="32"/>
                <w:szCs w:val="32"/>
              </w:rPr>
              <w:t>霸州市城市管理行政执法局固定资产占用情况表</w:t>
            </w:r>
          </w:p>
        </w:tc>
      </w:tr>
      <w:tr w:rsidR="00EA3ECC">
        <w:trPr>
          <w:trHeight w:val="90"/>
        </w:trPr>
        <w:tc>
          <w:tcPr>
            <w:tcW w:w="8340" w:type="dxa"/>
            <w:gridSpan w:val="2"/>
            <w:tcBorders>
              <w:top w:val="nil"/>
              <w:left w:val="nil"/>
              <w:bottom w:val="nil"/>
              <w:right w:val="nil"/>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编制部门：814</w:t>
            </w:r>
            <w:bookmarkStart w:id="3" w:name="_GoBack"/>
            <w:bookmarkEnd w:id="3"/>
            <w:r>
              <w:rPr>
                <w:rFonts w:ascii="方正仿宋_GBK" w:eastAsia="方正仿宋_GBK" w:hAnsiTheme="majorEastAsia" w:cs="宋体" w:hint="eastAsia"/>
                <w:kern w:val="0"/>
                <w:sz w:val="22"/>
              </w:rPr>
              <w:t>霸州市城市管理行政执法局</w:t>
            </w:r>
          </w:p>
        </w:tc>
        <w:tc>
          <w:tcPr>
            <w:tcW w:w="5080" w:type="dxa"/>
            <w:tcBorders>
              <w:top w:val="nil"/>
              <w:left w:val="nil"/>
              <w:bottom w:val="nil"/>
              <w:right w:val="nil"/>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 xml:space="preserve">截止时间：2016年12月31日  </w:t>
            </w:r>
          </w:p>
        </w:tc>
      </w:tr>
      <w:tr w:rsidR="00EA3ECC">
        <w:trPr>
          <w:trHeight w:val="9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项   目</w:t>
            </w:r>
          </w:p>
        </w:tc>
        <w:tc>
          <w:tcPr>
            <w:tcW w:w="3140" w:type="dxa"/>
            <w:tcBorders>
              <w:top w:val="single" w:sz="4" w:space="0" w:color="auto"/>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数量</w:t>
            </w:r>
          </w:p>
        </w:tc>
        <w:tc>
          <w:tcPr>
            <w:tcW w:w="5080" w:type="dxa"/>
            <w:tcBorders>
              <w:top w:val="single" w:sz="4" w:space="0" w:color="auto"/>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b/>
                <w:bCs/>
                <w:kern w:val="0"/>
                <w:sz w:val="22"/>
              </w:rPr>
            </w:pPr>
            <w:r>
              <w:rPr>
                <w:rFonts w:ascii="方正仿宋_GBK" w:eastAsia="方正仿宋_GBK" w:hAnsiTheme="majorEastAsia" w:cs="宋体" w:hint="eastAsia"/>
                <w:b/>
                <w:bCs/>
                <w:kern w:val="0"/>
                <w:sz w:val="22"/>
              </w:rPr>
              <w:t>价值（金额单位：万元）</w:t>
            </w: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资产总额</w:t>
            </w:r>
          </w:p>
        </w:tc>
        <w:tc>
          <w:tcPr>
            <w:tcW w:w="3140" w:type="dxa"/>
            <w:tcBorders>
              <w:top w:val="nil"/>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w:t>
            </w:r>
          </w:p>
        </w:tc>
        <w:tc>
          <w:tcPr>
            <w:tcW w:w="5080" w:type="dxa"/>
            <w:tcBorders>
              <w:top w:val="nil"/>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690.69</w:t>
            </w: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1、房屋（平方米）</w:t>
            </w:r>
          </w:p>
        </w:tc>
        <w:tc>
          <w:tcPr>
            <w:tcW w:w="314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c>
          <w:tcPr>
            <w:tcW w:w="508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 xml:space="preserve">   其中：办公用房（平方米）</w:t>
            </w:r>
          </w:p>
        </w:tc>
        <w:tc>
          <w:tcPr>
            <w:tcW w:w="314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c>
          <w:tcPr>
            <w:tcW w:w="508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2、车辆（台、辆）</w:t>
            </w:r>
          </w:p>
        </w:tc>
        <w:tc>
          <w:tcPr>
            <w:tcW w:w="3140" w:type="dxa"/>
            <w:tcBorders>
              <w:top w:val="nil"/>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65</w:t>
            </w:r>
          </w:p>
        </w:tc>
        <w:tc>
          <w:tcPr>
            <w:tcW w:w="5080" w:type="dxa"/>
            <w:tcBorders>
              <w:top w:val="nil"/>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482.57</w:t>
            </w: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3、单价在20万元以上的设备</w:t>
            </w:r>
          </w:p>
        </w:tc>
        <w:tc>
          <w:tcPr>
            <w:tcW w:w="314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c>
          <w:tcPr>
            <w:tcW w:w="508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r>
      <w:tr w:rsidR="00EA3ECC">
        <w:trPr>
          <w:trHeight w:val="90"/>
        </w:trPr>
        <w:tc>
          <w:tcPr>
            <w:tcW w:w="5200" w:type="dxa"/>
            <w:tcBorders>
              <w:top w:val="nil"/>
              <w:left w:val="single" w:sz="4" w:space="0" w:color="auto"/>
              <w:bottom w:val="single" w:sz="4" w:space="0" w:color="auto"/>
              <w:right w:val="single" w:sz="4" w:space="0" w:color="auto"/>
            </w:tcBorders>
            <w:shd w:val="clear" w:color="auto" w:fill="auto"/>
            <w:vAlign w:val="center"/>
          </w:tcPr>
          <w:p w:rsidR="00EA3ECC" w:rsidRDefault="000D3194">
            <w:pPr>
              <w:widowControl/>
              <w:jc w:val="left"/>
              <w:rPr>
                <w:rFonts w:ascii="方正仿宋_GBK" w:eastAsia="方正仿宋_GBK" w:hAnsiTheme="majorEastAsia" w:cs="宋体"/>
                <w:kern w:val="0"/>
                <w:sz w:val="22"/>
              </w:rPr>
            </w:pPr>
            <w:r>
              <w:rPr>
                <w:rFonts w:ascii="方正仿宋_GBK" w:eastAsia="方正仿宋_GBK" w:hAnsiTheme="majorEastAsia" w:cs="宋体" w:hint="eastAsia"/>
                <w:kern w:val="0"/>
                <w:sz w:val="22"/>
              </w:rPr>
              <w:t>4、其他固定资产</w:t>
            </w:r>
          </w:p>
        </w:tc>
        <w:tc>
          <w:tcPr>
            <w:tcW w:w="3140" w:type="dxa"/>
            <w:tcBorders>
              <w:top w:val="nil"/>
              <w:left w:val="nil"/>
              <w:bottom w:val="single" w:sz="4" w:space="0" w:color="auto"/>
              <w:right w:val="single" w:sz="4" w:space="0" w:color="auto"/>
            </w:tcBorders>
            <w:shd w:val="clear" w:color="auto" w:fill="auto"/>
            <w:vAlign w:val="center"/>
          </w:tcPr>
          <w:p w:rsidR="00EA3ECC" w:rsidRDefault="00EA3ECC">
            <w:pPr>
              <w:widowControl/>
              <w:jc w:val="center"/>
              <w:rPr>
                <w:rFonts w:ascii="方正仿宋_GBK" w:eastAsia="方正仿宋_GBK" w:hAnsiTheme="majorEastAsia" w:cs="宋体"/>
                <w:kern w:val="0"/>
                <w:sz w:val="22"/>
              </w:rPr>
            </w:pPr>
          </w:p>
        </w:tc>
        <w:tc>
          <w:tcPr>
            <w:tcW w:w="5080" w:type="dxa"/>
            <w:tcBorders>
              <w:top w:val="nil"/>
              <w:left w:val="nil"/>
              <w:bottom w:val="single" w:sz="4" w:space="0" w:color="auto"/>
              <w:right w:val="single" w:sz="4" w:space="0" w:color="auto"/>
            </w:tcBorders>
            <w:shd w:val="clear" w:color="auto" w:fill="auto"/>
            <w:vAlign w:val="center"/>
          </w:tcPr>
          <w:p w:rsidR="00EA3ECC" w:rsidRDefault="000D3194">
            <w:pPr>
              <w:widowControl/>
              <w:jc w:val="center"/>
              <w:rPr>
                <w:rFonts w:ascii="方正仿宋_GBK" w:eastAsia="方正仿宋_GBK" w:hAnsiTheme="majorEastAsia" w:cs="宋体"/>
                <w:kern w:val="0"/>
                <w:sz w:val="22"/>
              </w:rPr>
            </w:pPr>
            <w:r>
              <w:rPr>
                <w:rFonts w:ascii="方正仿宋_GBK" w:eastAsia="方正仿宋_GBK" w:hAnsiTheme="majorEastAsia" w:cs="宋体" w:hint="eastAsia"/>
                <w:kern w:val="0"/>
                <w:sz w:val="22"/>
              </w:rPr>
              <w:t>208.12</w:t>
            </w:r>
          </w:p>
        </w:tc>
      </w:tr>
    </w:tbl>
    <w:p w:rsidR="00EA3ECC" w:rsidRDefault="00EA3ECC">
      <w:pPr>
        <w:rPr>
          <w:rFonts w:ascii="方正仿宋_GBK" w:eastAsia="方正仿宋_GBK" w:hAnsi="黑体" w:cs="Times New Roman"/>
          <w:color w:val="FF0000"/>
          <w:sz w:val="32"/>
          <w:szCs w:val="32"/>
        </w:rPr>
      </w:pPr>
    </w:p>
    <w:p w:rsidR="00886AA3" w:rsidRDefault="00886AA3" w:rsidP="00886AA3">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八、名词解释</w:t>
      </w:r>
    </w:p>
    <w:p w:rsidR="00886AA3" w:rsidRDefault="00886AA3" w:rsidP="00886AA3">
      <w:pPr>
        <w:pStyle w:val="Default"/>
        <w:ind w:firstLineChars="196" w:firstLine="630"/>
        <w:rPr>
          <w:rFonts w:ascii="仿宋_GB2312" w:eastAsia="仿宋_GB2312" w:hint="eastAsia"/>
          <w:b/>
          <w:bCs/>
          <w:sz w:val="32"/>
          <w:szCs w:val="32"/>
        </w:rPr>
      </w:pPr>
      <w:r>
        <w:rPr>
          <w:rFonts w:ascii="仿宋_GB2312" w:eastAsia="仿宋_GB2312" w:hint="eastAsia"/>
          <w:b/>
          <w:bCs/>
          <w:sz w:val="32"/>
          <w:szCs w:val="32"/>
        </w:rPr>
        <w:lastRenderedPageBreak/>
        <w:t>1</w:t>
      </w:r>
      <w:r>
        <w:rPr>
          <w:rFonts w:ascii="仿宋_GB2312" w:eastAsia="仿宋_GB2312" w:hAnsi="FZFangSong-Z02" w:cs="FZFangSong-Z02" w:hint="eastAsia"/>
          <w:sz w:val="32"/>
          <w:szCs w:val="32"/>
        </w:rPr>
        <w:t>、一般公共预算拨款收入：指市级财政当年拨付的资金。</w:t>
      </w:r>
    </w:p>
    <w:p w:rsidR="00886AA3" w:rsidRDefault="00886AA3" w:rsidP="00886AA3">
      <w:pPr>
        <w:pStyle w:val="Default"/>
        <w:rPr>
          <w:rFonts w:ascii="仿宋_GB2312" w:eastAsia="仿宋_GB2312" w:hAnsi="FZFangSong-Z02" w:cs="FZFangSong-Z02" w:hint="eastAsia"/>
          <w:sz w:val="32"/>
          <w:szCs w:val="32"/>
        </w:rPr>
      </w:pPr>
      <w:r>
        <w:rPr>
          <w:rFonts w:ascii="仿宋_GB2312" w:eastAsia="仿宋_GB2312" w:hint="eastAsia"/>
          <w:b/>
          <w:bCs/>
          <w:sz w:val="32"/>
          <w:szCs w:val="32"/>
        </w:rPr>
        <w:t xml:space="preserve">    2</w:t>
      </w:r>
      <w:r>
        <w:rPr>
          <w:rFonts w:ascii="仿宋_GB2312" w:eastAsia="仿宋_GB2312" w:hAnsi="FZFangSong-Z02" w:cs="FZFangSong-Z02" w:hint="eastAsia"/>
          <w:sz w:val="32"/>
          <w:szCs w:val="32"/>
        </w:rPr>
        <w:t>、事业收入：指事业单位开展专业业务活动及辅助活动所取得的收入。</w:t>
      </w:r>
    </w:p>
    <w:p w:rsidR="00886AA3" w:rsidRDefault="00886AA3" w:rsidP="00886AA3">
      <w:pPr>
        <w:pStyle w:val="Default"/>
        <w:rPr>
          <w:rFonts w:ascii="仿宋_GB2312" w:eastAsia="仿宋_GB2312" w:hAnsi="FZFangSong-Z02" w:cs="FZFangSong-Z02" w:hint="eastAsia"/>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等以外的收入。主要是按规定动用的租房收入、存款利息收入等。</w:t>
      </w:r>
    </w:p>
    <w:p w:rsidR="00886AA3" w:rsidRDefault="00886AA3" w:rsidP="00886AA3">
      <w:pPr>
        <w:pStyle w:val="Default"/>
        <w:rPr>
          <w:rFonts w:ascii="仿宋_GB2312" w:eastAsia="仿宋_GB2312" w:hAnsi="FZFangSong-Z02" w:cs="FZFangSong-Z02" w:hint="eastAsia"/>
          <w:sz w:val="32"/>
          <w:szCs w:val="32"/>
        </w:rPr>
      </w:pPr>
      <w:r>
        <w:rPr>
          <w:rFonts w:ascii="仿宋_GB2312" w:eastAsia="仿宋_GB2312" w:hint="eastAsia"/>
          <w:b/>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886AA3" w:rsidRDefault="00886AA3" w:rsidP="00886AA3">
      <w:pPr>
        <w:rPr>
          <w:rFonts w:ascii="仿宋_GB2312" w:eastAsia="仿宋_GB2312" w:hAnsi="Calibri" w:cs="Times New Roman" w:hint="eastAsia"/>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886AA3" w:rsidRDefault="00886AA3" w:rsidP="00886AA3">
      <w:pPr>
        <w:pStyle w:val="Default"/>
        <w:rPr>
          <w:rFonts w:ascii="仿宋_GB2312" w:eastAsia="仿宋_GB2312" w:hint="eastAsia"/>
          <w:sz w:val="32"/>
          <w:szCs w:val="32"/>
        </w:rPr>
      </w:pPr>
      <w:r>
        <w:rPr>
          <w:rFonts w:ascii="仿宋_GB2312" w:eastAsia="仿宋_GB2312" w:hint="eastAsia"/>
          <w:b/>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886AA3" w:rsidRDefault="00886AA3" w:rsidP="00886AA3">
      <w:pPr>
        <w:pStyle w:val="Default"/>
        <w:rPr>
          <w:rFonts w:ascii="仿宋_GB2312" w:eastAsia="仿宋_GB2312" w:hAnsi="FZFangSong-Z02" w:cs="FZFangSong-Z02" w:hint="eastAsia"/>
          <w:sz w:val="32"/>
          <w:szCs w:val="32"/>
        </w:rPr>
      </w:pPr>
      <w:r>
        <w:rPr>
          <w:rFonts w:ascii="仿宋_GB2312" w:eastAsia="仿宋_GB2312" w:hint="eastAsia"/>
          <w:b/>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
          <w:bCs/>
          <w:sz w:val="32"/>
          <w:szCs w:val="32"/>
        </w:rPr>
        <w:t>“</w:t>
      </w:r>
      <w:r>
        <w:rPr>
          <w:rFonts w:ascii="仿宋_GB2312" w:eastAsia="仿宋_GB2312" w:hAnsi="FZFangSong-Z02" w:cs="FZFangSong-Z02" w:hint="eastAsia"/>
          <w:sz w:val="32"/>
          <w:szCs w:val="32"/>
        </w:rPr>
        <w:t>三公</w:t>
      </w:r>
      <w:r>
        <w:rPr>
          <w:rFonts w:ascii="仿宋_GB2312" w:eastAsia="仿宋_GB2312" w:hint="eastAsia"/>
          <w:b/>
          <w:bCs/>
          <w:sz w:val="32"/>
          <w:szCs w:val="32"/>
        </w:rPr>
        <w:t>”</w:t>
      </w:r>
      <w:r>
        <w:rPr>
          <w:rFonts w:ascii="仿宋_GB2312" w:eastAsia="仿宋_GB2312" w:hAnsi="FZFangSong-Z02" w:cs="FZFangSong-Z02" w:hint="eastAsia"/>
          <w:sz w:val="32"/>
          <w:szCs w:val="32"/>
        </w:rPr>
        <w:t>经费：纳入市级财政预算管理的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886AA3" w:rsidRDefault="00886AA3" w:rsidP="00886AA3">
      <w:pPr>
        <w:autoSpaceDE w:val="0"/>
        <w:autoSpaceDN w:val="0"/>
        <w:adjustRightInd w:val="0"/>
        <w:ind w:firstLineChars="200" w:firstLine="643"/>
        <w:jc w:val="left"/>
        <w:rPr>
          <w:rFonts w:ascii="仿宋_GB2312" w:eastAsia="仿宋_GB2312" w:hAnsi="Calibri" w:cs="Times New Roman" w:hint="eastAsia"/>
          <w:sz w:val="32"/>
          <w:szCs w:val="32"/>
        </w:rPr>
      </w:pPr>
      <w:r>
        <w:rPr>
          <w:rFonts w:ascii="仿宋_GB2312" w:eastAsia="仿宋_GB2312" w:hint="eastAsia"/>
          <w:b/>
          <w:bCs/>
          <w:sz w:val="32"/>
          <w:szCs w:val="32"/>
        </w:rPr>
        <w:t>8</w:t>
      </w:r>
      <w:r>
        <w:rPr>
          <w:rFonts w:ascii="仿宋_GB2312" w:eastAsia="仿宋_GB2312" w:hAnsi="FZFangSong-Z02" w:cs="FZFangSong-Z02" w:hint="eastAsia"/>
          <w:sz w:val="32"/>
          <w:szCs w:val="32"/>
        </w:rPr>
        <w:t>、机关运行费：为保障行政单位（包括参照公务员法管理的事业单位）运行用于购买货物和服</w:t>
      </w:r>
      <w:r>
        <w:rPr>
          <w:rFonts w:ascii="仿宋_GB2312" w:eastAsia="仿宋_GB2312" w:hAnsi="FZFangSong-Z02" w:cs="FZFangSong-Z02"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EA3ECC" w:rsidRDefault="000D3194" w:rsidP="00793BEA">
      <w:pPr>
        <w:autoSpaceDE w:val="0"/>
        <w:autoSpaceDN w:val="0"/>
        <w:adjustRightInd w:val="0"/>
        <w:ind w:firstLineChars="200" w:firstLine="640"/>
        <w:jc w:val="left"/>
        <w:rPr>
          <w:rFonts w:ascii="黑体" w:eastAsia="黑体" w:hAnsiTheme="majorEastAsia" w:cs="Times New Roman"/>
          <w:bCs/>
          <w:sz w:val="32"/>
          <w:szCs w:val="32"/>
        </w:rPr>
      </w:pPr>
      <w:r>
        <w:rPr>
          <w:rFonts w:ascii="黑体" w:eastAsia="黑体" w:hAnsiTheme="majorEastAsia" w:cs="Times New Roman" w:hint="eastAsia"/>
          <w:bCs/>
          <w:sz w:val="32"/>
          <w:szCs w:val="32"/>
        </w:rPr>
        <w:t>九、其它需要说明的事项</w:t>
      </w:r>
    </w:p>
    <w:p w:rsidR="00EA3ECC" w:rsidRDefault="000D3194" w:rsidP="00793BEA">
      <w:pPr>
        <w:tabs>
          <w:tab w:val="left" w:pos="11490"/>
        </w:tabs>
        <w:ind w:firstLineChars="200" w:firstLine="640"/>
        <w:rPr>
          <w:rFonts w:ascii="仿宋_GB2312" w:eastAsia="仿宋_GB2312" w:hAnsiTheme="majorEastAsia" w:cs="Times New Roman"/>
          <w:sz w:val="32"/>
          <w:szCs w:val="32"/>
        </w:rPr>
      </w:pPr>
      <w:r>
        <w:rPr>
          <w:rFonts w:ascii="仿宋" w:eastAsia="仿宋" w:hAnsi="仿宋" w:cs="仿宋" w:hint="eastAsia"/>
          <w:sz w:val="32"/>
          <w:szCs w:val="32"/>
        </w:rPr>
        <w:t>无其它需要说明的事项。</w:t>
      </w:r>
    </w:p>
    <w:sectPr w:rsidR="00EA3ECC" w:rsidSect="00EA3EC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9C8" w:rsidRDefault="00F439C8" w:rsidP="00793BEA">
      <w:r>
        <w:separator/>
      </w:r>
    </w:p>
  </w:endnote>
  <w:endnote w:type="continuationSeparator" w:id="1">
    <w:p w:rsidR="00F439C8" w:rsidRDefault="00F439C8" w:rsidP="00793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9C8" w:rsidRDefault="00F439C8" w:rsidP="00793BEA">
      <w:r>
        <w:separator/>
      </w:r>
    </w:p>
  </w:footnote>
  <w:footnote w:type="continuationSeparator" w:id="1">
    <w:p w:rsidR="00F439C8" w:rsidRDefault="00F439C8" w:rsidP="00793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11AE7"/>
    <w:rsid w:val="00037AF6"/>
    <w:rsid w:val="00045A61"/>
    <w:rsid w:val="00075D5F"/>
    <w:rsid w:val="000C3A19"/>
    <w:rsid w:val="000D3194"/>
    <w:rsid w:val="00110FEB"/>
    <w:rsid w:val="001245BB"/>
    <w:rsid w:val="00157266"/>
    <w:rsid w:val="00184343"/>
    <w:rsid w:val="0018479D"/>
    <w:rsid w:val="001B222F"/>
    <w:rsid w:val="001D67DF"/>
    <w:rsid w:val="00203FCB"/>
    <w:rsid w:val="00223FC1"/>
    <w:rsid w:val="00241FD4"/>
    <w:rsid w:val="00251B12"/>
    <w:rsid w:val="002645FB"/>
    <w:rsid w:val="002652B4"/>
    <w:rsid w:val="00273ECA"/>
    <w:rsid w:val="0028053C"/>
    <w:rsid w:val="00281918"/>
    <w:rsid w:val="00296113"/>
    <w:rsid w:val="002A591B"/>
    <w:rsid w:val="002F3E58"/>
    <w:rsid w:val="0030542C"/>
    <w:rsid w:val="00311B7A"/>
    <w:rsid w:val="00314AA3"/>
    <w:rsid w:val="00371B93"/>
    <w:rsid w:val="003A42AA"/>
    <w:rsid w:val="003A4525"/>
    <w:rsid w:val="003C1853"/>
    <w:rsid w:val="003D7267"/>
    <w:rsid w:val="003E1A7F"/>
    <w:rsid w:val="003F3783"/>
    <w:rsid w:val="003F6ED1"/>
    <w:rsid w:val="003F71EA"/>
    <w:rsid w:val="004215E9"/>
    <w:rsid w:val="00423EFA"/>
    <w:rsid w:val="004468A8"/>
    <w:rsid w:val="00451871"/>
    <w:rsid w:val="00472923"/>
    <w:rsid w:val="0047432E"/>
    <w:rsid w:val="004A0773"/>
    <w:rsid w:val="004A7785"/>
    <w:rsid w:val="004E3066"/>
    <w:rsid w:val="004E74CD"/>
    <w:rsid w:val="00503846"/>
    <w:rsid w:val="005104C6"/>
    <w:rsid w:val="00512D69"/>
    <w:rsid w:val="0052189C"/>
    <w:rsid w:val="00541A07"/>
    <w:rsid w:val="00570276"/>
    <w:rsid w:val="00573562"/>
    <w:rsid w:val="005C0C90"/>
    <w:rsid w:val="005D555C"/>
    <w:rsid w:val="00614A29"/>
    <w:rsid w:val="00615607"/>
    <w:rsid w:val="006355A7"/>
    <w:rsid w:val="006561CE"/>
    <w:rsid w:val="0068705E"/>
    <w:rsid w:val="006A2A30"/>
    <w:rsid w:val="006C71D2"/>
    <w:rsid w:val="006F2433"/>
    <w:rsid w:val="0070593E"/>
    <w:rsid w:val="007169AB"/>
    <w:rsid w:val="0075393C"/>
    <w:rsid w:val="00755F39"/>
    <w:rsid w:val="007757EA"/>
    <w:rsid w:val="00776C08"/>
    <w:rsid w:val="00785359"/>
    <w:rsid w:val="00793BEA"/>
    <w:rsid w:val="007B4EE0"/>
    <w:rsid w:val="007B69F7"/>
    <w:rsid w:val="007C25D8"/>
    <w:rsid w:val="007E1DA8"/>
    <w:rsid w:val="007F1C5C"/>
    <w:rsid w:val="007F6C26"/>
    <w:rsid w:val="00803B75"/>
    <w:rsid w:val="008332CF"/>
    <w:rsid w:val="008334AE"/>
    <w:rsid w:val="00836FED"/>
    <w:rsid w:val="00845CD2"/>
    <w:rsid w:val="008502D8"/>
    <w:rsid w:val="00852B0D"/>
    <w:rsid w:val="00861C1D"/>
    <w:rsid w:val="00863F91"/>
    <w:rsid w:val="00881692"/>
    <w:rsid w:val="00886AA3"/>
    <w:rsid w:val="008B3CC5"/>
    <w:rsid w:val="008C2BAF"/>
    <w:rsid w:val="008E4261"/>
    <w:rsid w:val="008F4662"/>
    <w:rsid w:val="00905D08"/>
    <w:rsid w:val="00925753"/>
    <w:rsid w:val="00951F7B"/>
    <w:rsid w:val="009605F3"/>
    <w:rsid w:val="00966C5C"/>
    <w:rsid w:val="00973104"/>
    <w:rsid w:val="00980DCD"/>
    <w:rsid w:val="00986B70"/>
    <w:rsid w:val="009E2D26"/>
    <w:rsid w:val="00A359FE"/>
    <w:rsid w:val="00A36BAB"/>
    <w:rsid w:val="00A421CD"/>
    <w:rsid w:val="00A72D2E"/>
    <w:rsid w:val="00A80E26"/>
    <w:rsid w:val="00A852E3"/>
    <w:rsid w:val="00A911E7"/>
    <w:rsid w:val="00A917FF"/>
    <w:rsid w:val="00A939D9"/>
    <w:rsid w:val="00AA767B"/>
    <w:rsid w:val="00AC1EA8"/>
    <w:rsid w:val="00B20712"/>
    <w:rsid w:val="00B338CF"/>
    <w:rsid w:val="00B43238"/>
    <w:rsid w:val="00B47803"/>
    <w:rsid w:val="00B75216"/>
    <w:rsid w:val="00B86EC2"/>
    <w:rsid w:val="00B91D52"/>
    <w:rsid w:val="00BA1ACD"/>
    <w:rsid w:val="00BD24BE"/>
    <w:rsid w:val="00C216B6"/>
    <w:rsid w:val="00C4110E"/>
    <w:rsid w:val="00C52925"/>
    <w:rsid w:val="00C52C23"/>
    <w:rsid w:val="00C72978"/>
    <w:rsid w:val="00CA7176"/>
    <w:rsid w:val="00CD2773"/>
    <w:rsid w:val="00CE143B"/>
    <w:rsid w:val="00CF00DB"/>
    <w:rsid w:val="00D13D08"/>
    <w:rsid w:val="00D17F68"/>
    <w:rsid w:val="00D27285"/>
    <w:rsid w:val="00D504C5"/>
    <w:rsid w:val="00D53755"/>
    <w:rsid w:val="00D75F65"/>
    <w:rsid w:val="00D8163A"/>
    <w:rsid w:val="00D836C0"/>
    <w:rsid w:val="00D85A4C"/>
    <w:rsid w:val="00D900E6"/>
    <w:rsid w:val="00D9708D"/>
    <w:rsid w:val="00DA092E"/>
    <w:rsid w:val="00DF0FCA"/>
    <w:rsid w:val="00E04A7D"/>
    <w:rsid w:val="00E10CFF"/>
    <w:rsid w:val="00E14843"/>
    <w:rsid w:val="00E167C7"/>
    <w:rsid w:val="00E44710"/>
    <w:rsid w:val="00E4508D"/>
    <w:rsid w:val="00E62488"/>
    <w:rsid w:val="00E81411"/>
    <w:rsid w:val="00E920FB"/>
    <w:rsid w:val="00EA3ECC"/>
    <w:rsid w:val="00EC47F6"/>
    <w:rsid w:val="00EE1B43"/>
    <w:rsid w:val="00F153EF"/>
    <w:rsid w:val="00F16A11"/>
    <w:rsid w:val="00F16FF6"/>
    <w:rsid w:val="00F30C34"/>
    <w:rsid w:val="00F439C8"/>
    <w:rsid w:val="00F55FB6"/>
    <w:rsid w:val="00F66032"/>
    <w:rsid w:val="00F70DA3"/>
    <w:rsid w:val="00F958C2"/>
    <w:rsid w:val="02C100B0"/>
    <w:rsid w:val="08D60E4F"/>
    <w:rsid w:val="12D8728C"/>
    <w:rsid w:val="15AA25AD"/>
    <w:rsid w:val="18BA2640"/>
    <w:rsid w:val="1A985E65"/>
    <w:rsid w:val="1B4E7A8C"/>
    <w:rsid w:val="26BE494E"/>
    <w:rsid w:val="2A572BC1"/>
    <w:rsid w:val="2C374186"/>
    <w:rsid w:val="30174246"/>
    <w:rsid w:val="325318B2"/>
    <w:rsid w:val="41443275"/>
    <w:rsid w:val="4250639E"/>
    <w:rsid w:val="4329267A"/>
    <w:rsid w:val="47EC5761"/>
    <w:rsid w:val="4846496F"/>
    <w:rsid w:val="510D4461"/>
    <w:rsid w:val="52670958"/>
    <w:rsid w:val="569B3346"/>
    <w:rsid w:val="571F03DC"/>
    <w:rsid w:val="5A9248F7"/>
    <w:rsid w:val="5AB40472"/>
    <w:rsid w:val="639F2FBA"/>
    <w:rsid w:val="6EE36B4E"/>
    <w:rsid w:val="711206A8"/>
    <w:rsid w:val="7B9B78C0"/>
    <w:rsid w:val="7BAA2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A3ECC"/>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qFormat/>
    <w:rsid w:val="00EA3EC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qFormat/>
    <w:rsid w:val="00EA3ECC"/>
    <w:rPr>
      <w:rFonts w:ascii="Times New Roman" w:eastAsia="宋体" w:hAnsi="Times New Roman" w:cs="Times New Roman"/>
      <w:szCs w:val="24"/>
    </w:rPr>
  </w:style>
  <w:style w:type="paragraph" w:styleId="2">
    <w:name w:val="toc 2"/>
    <w:basedOn w:val="a"/>
    <w:next w:val="a"/>
    <w:qFormat/>
    <w:rsid w:val="00EA3ECC"/>
    <w:pPr>
      <w:ind w:leftChars="200" w:left="420"/>
    </w:pPr>
    <w:rPr>
      <w:rFonts w:ascii="Times New Roman" w:eastAsia="宋体" w:hAnsi="Times New Roman" w:cs="Times New Roman"/>
      <w:szCs w:val="24"/>
    </w:rPr>
  </w:style>
  <w:style w:type="character" w:customStyle="1" w:styleId="Char0">
    <w:name w:val="页眉 Char"/>
    <w:basedOn w:val="a0"/>
    <w:link w:val="a4"/>
    <w:qFormat/>
    <w:rsid w:val="00EA3ECC"/>
    <w:rPr>
      <w:rFonts w:ascii="Times New Roman" w:eastAsia="宋体" w:hAnsi="Times New Roman" w:cs="Times New Roman"/>
      <w:sz w:val="18"/>
      <w:szCs w:val="18"/>
    </w:rPr>
  </w:style>
  <w:style w:type="character" w:customStyle="1" w:styleId="Char">
    <w:name w:val="页脚 Char"/>
    <w:basedOn w:val="a0"/>
    <w:link w:val="a3"/>
    <w:qFormat/>
    <w:rsid w:val="00EA3ECC"/>
    <w:rPr>
      <w:rFonts w:ascii="Times New Roman" w:eastAsia="宋体" w:hAnsi="Times New Roman" w:cs="Times New Roman"/>
      <w:sz w:val="18"/>
      <w:szCs w:val="18"/>
    </w:rPr>
  </w:style>
  <w:style w:type="paragraph" w:customStyle="1" w:styleId="Default">
    <w:name w:val="Default"/>
    <w:rsid w:val="00886AA3"/>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3843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05860-B6FC-4B54-BA24-26EB1B4A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715</Words>
  <Characters>4082</Characters>
  <Application>Microsoft Office Word</Application>
  <DocSecurity>0</DocSecurity>
  <Lines>34</Lines>
  <Paragraphs>9</Paragraphs>
  <ScaleCrop>false</ScaleCrop>
  <Company>中国微软</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144</cp:revision>
  <dcterms:created xsi:type="dcterms:W3CDTF">2017-01-13T03:22:00Z</dcterms:created>
  <dcterms:modified xsi:type="dcterms:W3CDTF">2017-11-17T02:32:00Z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